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DCF893" w14:textId="1640906D" w:rsidR="009E1952" w:rsidRPr="001A5B2A" w:rsidRDefault="009E1952" w:rsidP="009E1952">
      <w:pPr>
        <w:tabs>
          <w:tab w:val="right" w:pos="9630"/>
        </w:tabs>
      </w:pPr>
      <w:bookmarkStart w:id="0" w:name="_Ref494746248"/>
      <w:r w:rsidRPr="001A5B2A">
        <w:rPr>
          <w:rFonts w:ascii="Arial" w:hAnsi="Arial" w:cs="Arial"/>
          <w:b/>
          <w:sz w:val="24"/>
        </w:rPr>
        <w:t>3GPP TSG RAN WG1 Meeting #9</w:t>
      </w:r>
      <w:r w:rsidR="00765884">
        <w:rPr>
          <w:rFonts w:ascii="Arial" w:hAnsi="Arial" w:cs="Arial"/>
          <w:b/>
          <w:sz w:val="24"/>
        </w:rPr>
        <w:t>3</w:t>
      </w:r>
      <w:r w:rsidRPr="001A5B2A">
        <w:rPr>
          <w:rFonts w:ascii="Arial" w:hAnsi="Arial" w:cs="Arial"/>
          <w:b/>
          <w:sz w:val="24"/>
        </w:rPr>
        <w:tab/>
        <w:t>R1-</w:t>
      </w:r>
      <w:r w:rsidR="00E74776" w:rsidRPr="00E74776">
        <w:rPr>
          <w:rFonts w:ascii="Arial" w:hAnsi="Arial" w:cs="Arial"/>
          <w:b/>
          <w:sz w:val="24"/>
        </w:rPr>
        <w:t>18073</w:t>
      </w:r>
      <w:r w:rsidR="001B29AC">
        <w:rPr>
          <w:rFonts w:ascii="Arial" w:hAnsi="Arial" w:cs="Arial"/>
          <w:b/>
          <w:sz w:val="24"/>
        </w:rPr>
        <w:t>9</w:t>
      </w:r>
      <w:r w:rsidR="00E74776" w:rsidRPr="00E74776">
        <w:rPr>
          <w:rFonts w:ascii="Arial" w:hAnsi="Arial" w:cs="Arial"/>
          <w:b/>
          <w:sz w:val="24"/>
        </w:rPr>
        <w:t>9</w:t>
      </w:r>
    </w:p>
    <w:p w14:paraId="1D1CB4FD" w14:textId="64427BFC" w:rsidR="00680B9E" w:rsidRPr="00DA12F7" w:rsidRDefault="003F4501" w:rsidP="00680B9E">
      <w:pPr>
        <w:tabs>
          <w:tab w:val="right" w:pos="9630"/>
        </w:tabs>
        <w:spacing w:after="0"/>
        <w:rPr>
          <w:rFonts w:ascii="Arial" w:hAnsi="Arial" w:cs="Arial"/>
          <w:b/>
          <w:sz w:val="24"/>
          <w:szCs w:val="24"/>
        </w:rPr>
      </w:pPr>
      <w:r w:rsidRPr="003F4501">
        <w:rPr>
          <w:rFonts w:ascii="Arial" w:hAnsi="Arial" w:cs="Arial"/>
          <w:b/>
          <w:sz w:val="24"/>
          <w:szCs w:val="24"/>
        </w:rPr>
        <w:t>Busan, Korea, May 21</w:t>
      </w:r>
      <w:r w:rsidRPr="003F4501">
        <w:rPr>
          <w:rFonts w:ascii="Arial" w:hAnsi="Arial" w:cs="Arial"/>
          <w:b/>
          <w:sz w:val="24"/>
          <w:szCs w:val="24"/>
          <w:vertAlign w:val="superscript"/>
        </w:rPr>
        <w:t>st</w:t>
      </w:r>
      <w:r>
        <w:rPr>
          <w:rFonts w:ascii="Arial" w:hAnsi="Arial" w:cs="Arial"/>
          <w:b/>
          <w:sz w:val="24"/>
          <w:szCs w:val="24"/>
        </w:rPr>
        <w:t xml:space="preserve"> </w:t>
      </w:r>
      <w:r w:rsidRPr="003F4501">
        <w:rPr>
          <w:rFonts w:ascii="Arial" w:hAnsi="Arial" w:cs="Arial"/>
          <w:b/>
          <w:sz w:val="24"/>
          <w:szCs w:val="24"/>
        </w:rPr>
        <w:t>– 25</w:t>
      </w:r>
      <w:r w:rsidRPr="003F4501">
        <w:rPr>
          <w:rFonts w:ascii="Arial" w:hAnsi="Arial" w:cs="Arial"/>
          <w:b/>
          <w:sz w:val="24"/>
          <w:szCs w:val="24"/>
          <w:vertAlign w:val="superscript"/>
        </w:rPr>
        <w:t>th</w:t>
      </w:r>
      <w:r w:rsidRPr="003F4501">
        <w:rPr>
          <w:rFonts w:ascii="Arial" w:hAnsi="Arial" w:cs="Arial"/>
          <w:b/>
          <w:sz w:val="24"/>
          <w:szCs w:val="24"/>
        </w:rPr>
        <w:t>, 2018</w:t>
      </w:r>
      <w:r w:rsidR="001B29AC">
        <w:rPr>
          <w:rFonts w:ascii="Arial" w:hAnsi="Arial" w:cs="Arial"/>
          <w:b/>
          <w:sz w:val="24"/>
          <w:szCs w:val="24"/>
        </w:rPr>
        <w:tab/>
      </w:r>
      <w:r w:rsidR="001B29AC" w:rsidRPr="001B29AC">
        <w:rPr>
          <w:rFonts w:ascii="Arial" w:hAnsi="Arial" w:cs="Arial"/>
          <w:i/>
          <w:sz w:val="18"/>
          <w:szCs w:val="24"/>
        </w:rPr>
        <w:t>Revision of R1-1807369</w:t>
      </w:r>
    </w:p>
    <w:p w14:paraId="71580EA5" w14:textId="77777777" w:rsidR="00680B9E" w:rsidRPr="000A64D8" w:rsidRDefault="00680B9E" w:rsidP="00680B9E">
      <w:pPr>
        <w:pStyle w:val="Footer"/>
        <w:jc w:val="both"/>
        <w:rPr>
          <w:noProof w:val="0"/>
        </w:rPr>
      </w:pPr>
    </w:p>
    <w:p w14:paraId="5A36CDBF" w14:textId="7AF44D9E" w:rsidR="00680B9E" w:rsidRPr="000A64D8" w:rsidRDefault="00680B9E" w:rsidP="00680B9E">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Pr>
          <w:rFonts w:ascii="Arial" w:hAnsi="Arial"/>
          <w:sz w:val="24"/>
        </w:rPr>
        <w:t>7.1.3.4.2</w:t>
      </w:r>
    </w:p>
    <w:p w14:paraId="037FF155" w14:textId="77777777" w:rsidR="00680B9E" w:rsidRPr="000A64D8" w:rsidRDefault="00680B9E" w:rsidP="00680B9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bookmarkStart w:id="2" w:name="_GoBack"/>
      <w:bookmarkEnd w:id="2"/>
    </w:p>
    <w:p w14:paraId="5E59EE4B" w14:textId="414675E3" w:rsidR="00680B9E" w:rsidRPr="0007796D" w:rsidRDefault="00680B9E" w:rsidP="00680B9E">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Pr="001B29AC">
        <w:rPr>
          <w:rFonts w:ascii="Arial" w:hAnsi="Arial"/>
          <w:sz w:val="24"/>
        </w:rPr>
        <w:t>Remaining Issues on CA</w:t>
      </w:r>
    </w:p>
    <w:p w14:paraId="3B1797BA" w14:textId="77777777" w:rsidR="00680B9E" w:rsidRDefault="00680B9E" w:rsidP="00680B9E">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Pr>
          <w:rFonts w:ascii="Arial" w:hAnsi="Arial"/>
          <w:sz w:val="24"/>
        </w:rPr>
        <w:t>/Decision</w:t>
      </w:r>
    </w:p>
    <w:p w14:paraId="5F9B6AB3" w14:textId="77777777" w:rsidR="00E4038C" w:rsidRDefault="00E4038C" w:rsidP="00E4038C">
      <w:pPr>
        <w:pStyle w:val="Heading1"/>
        <w:textAlignment w:val="auto"/>
      </w:pPr>
      <w:r>
        <w:t>Introduction</w:t>
      </w:r>
      <w:bookmarkEnd w:id="0"/>
    </w:p>
    <w:p w14:paraId="4AAFCC67" w14:textId="2DF654CD" w:rsidR="00E4038C" w:rsidRDefault="005F76BE" w:rsidP="00E4038C">
      <w:pPr>
        <w:spacing w:after="120"/>
      </w:pPr>
      <w:r>
        <w:t>This contribution</w:t>
      </w:r>
      <w:r w:rsidR="00E4038C">
        <w:t xml:space="preserve"> discuss</w:t>
      </w:r>
      <w:r>
        <w:t>es</w:t>
      </w:r>
      <w:r w:rsidR="00E4038C">
        <w:t xml:space="preserve"> </w:t>
      </w:r>
      <w:r w:rsidR="00C227E3">
        <w:t>issues in</w:t>
      </w:r>
      <w:r w:rsidR="00E74776">
        <w:t xml:space="preserve"> CA with mixed numerology,</w:t>
      </w:r>
      <w:r w:rsidR="00FE1FA1">
        <w:t xml:space="preserve"> HARQ-ACK</w:t>
      </w:r>
      <w:r w:rsidR="00E74776">
        <w:t>, and other miscellaneous topics.</w:t>
      </w:r>
    </w:p>
    <w:p w14:paraId="012CCAE0" w14:textId="31754FB1" w:rsidR="00832CA7" w:rsidRDefault="00832CA7" w:rsidP="00832CA7">
      <w:pPr>
        <w:overflowPunct/>
        <w:autoSpaceDE/>
        <w:autoSpaceDN/>
        <w:adjustRightInd/>
        <w:spacing w:after="0"/>
        <w:textAlignment w:val="auto"/>
        <w:rPr>
          <w:lang w:val="en-GB"/>
        </w:rPr>
      </w:pPr>
      <w:r>
        <w:rPr>
          <w:lang w:val="en-GB"/>
        </w:rPr>
        <w:t xml:space="preserve">During </w:t>
      </w:r>
      <w:r w:rsidRPr="00832CA7">
        <w:rPr>
          <w:lang w:val="en-GB"/>
        </w:rPr>
        <w:t>RAN#78 plenary meeting</w:t>
      </w:r>
      <w:r>
        <w:rPr>
          <w:lang w:val="en-GB"/>
        </w:rPr>
        <w:t>, the following decision has been made:</w:t>
      </w:r>
    </w:p>
    <w:p w14:paraId="7C7F086C" w14:textId="5BF6FAE0" w:rsidR="00832CA7" w:rsidRPr="000F5C75" w:rsidRDefault="00832CA7" w:rsidP="00C359AA">
      <w:pPr>
        <w:pStyle w:val="ListParagraph"/>
        <w:numPr>
          <w:ilvl w:val="0"/>
          <w:numId w:val="7"/>
        </w:numPr>
        <w:spacing w:after="0"/>
      </w:pPr>
      <w:r w:rsidRPr="00832CA7">
        <w:t>For NR-NR CA, finalization of the work to enable up to 2 different numerologies within the same PUCCH group (PUCCH sent on the CC with smaller SCS) in RAN1 in Q1, and in RAN4 (Core) for Q2, for the December drop</w:t>
      </w:r>
    </w:p>
    <w:p w14:paraId="5EE1D93F" w14:textId="77777777" w:rsidR="00E77B90" w:rsidRDefault="00E77B90" w:rsidP="00E77B90">
      <w:pPr>
        <w:tabs>
          <w:tab w:val="left" w:pos="720"/>
        </w:tabs>
        <w:overflowPunct/>
        <w:autoSpaceDE/>
        <w:autoSpaceDN/>
        <w:adjustRightInd/>
        <w:spacing w:after="120"/>
        <w:textAlignment w:val="auto"/>
      </w:pPr>
    </w:p>
    <w:p w14:paraId="3376174C" w14:textId="00578566" w:rsidR="003F0666" w:rsidRDefault="00E74776" w:rsidP="00E4038C">
      <w:pPr>
        <w:spacing w:after="120"/>
      </w:pPr>
      <w:r>
        <w:t xml:space="preserve">This contribution contains new materials except </w:t>
      </w:r>
      <w:r w:rsidR="00FE1FA1">
        <w:t xml:space="preserve">Section </w:t>
      </w:r>
      <w:r w:rsidR="00FE1FA1">
        <w:fldChar w:fldCharType="begin"/>
      </w:r>
      <w:r w:rsidR="00FE1FA1">
        <w:instrText xml:space="preserve"> REF _Ref510803943 \r \h </w:instrText>
      </w:r>
      <w:r w:rsidR="00FE1FA1">
        <w:fldChar w:fldCharType="separate"/>
      </w:r>
      <w:r w:rsidR="00000F59">
        <w:t>2.2.2</w:t>
      </w:r>
      <w:r w:rsidR="00FE1FA1">
        <w:fldChar w:fldCharType="end"/>
      </w:r>
      <w:r w:rsidR="00FE1FA1">
        <w:t xml:space="preserve"> and Section </w:t>
      </w:r>
      <w:r w:rsidR="00FE1FA1">
        <w:fldChar w:fldCharType="begin"/>
      </w:r>
      <w:r w:rsidR="00FE1FA1">
        <w:instrText xml:space="preserve"> REF _Ref510803949 \r \h </w:instrText>
      </w:r>
      <w:r w:rsidR="00FE1FA1">
        <w:fldChar w:fldCharType="separate"/>
      </w:r>
      <w:r w:rsidR="00000F59">
        <w:t>2.3</w:t>
      </w:r>
      <w:r w:rsidR="00FE1FA1">
        <w:fldChar w:fldCharType="end"/>
      </w:r>
      <w:r w:rsidR="00FE1FA1">
        <w:t xml:space="preserve"> </w:t>
      </w:r>
      <w:r>
        <w:t xml:space="preserve">which are </w:t>
      </w:r>
      <w:r w:rsidR="00FE1FA1">
        <w:t xml:space="preserve">resubmission from </w:t>
      </w:r>
      <w:r w:rsidR="00FE1FA1" w:rsidRPr="00FE1FA1">
        <w:t>R1-180</w:t>
      </w:r>
      <w:r>
        <w:t xml:space="preserve">4810 </w:t>
      </w:r>
      <w:r>
        <w:fldChar w:fldCharType="begin"/>
      </w:r>
      <w:r>
        <w:instrText xml:space="preserve"> REF _Ref513818612 \r \h </w:instrText>
      </w:r>
      <w:r>
        <w:fldChar w:fldCharType="separate"/>
      </w:r>
      <w:r w:rsidR="00000F59">
        <w:t>[5]</w:t>
      </w:r>
      <w:r>
        <w:fldChar w:fldCharType="end"/>
      </w:r>
      <w:r w:rsidR="001B08BE">
        <w:t>.</w:t>
      </w:r>
    </w:p>
    <w:p w14:paraId="47DFB039" w14:textId="77777777" w:rsidR="00044EDB" w:rsidRDefault="00044EDB" w:rsidP="005C2F71">
      <w:pPr>
        <w:pStyle w:val="Heading1"/>
      </w:pPr>
      <w:r>
        <w:t>Discussion</w:t>
      </w:r>
    </w:p>
    <w:p w14:paraId="0084B046" w14:textId="77777777" w:rsidR="009B719B" w:rsidRDefault="009B719B" w:rsidP="00E4038C">
      <w:pPr>
        <w:spacing w:after="120"/>
      </w:pPr>
    </w:p>
    <w:p w14:paraId="2D4BF34F" w14:textId="4C19BDE2" w:rsidR="005A54DF" w:rsidRDefault="005713EF" w:rsidP="00044EDB">
      <w:pPr>
        <w:pStyle w:val="Heading2"/>
      </w:pPr>
      <w:bookmarkStart w:id="4" w:name="_Toc503314554"/>
      <w:bookmarkStart w:id="5" w:name="_Toc503531337"/>
      <w:bookmarkStart w:id="6" w:name="_Ref510803863"/>
      <w:bookmarkEnd w:id="4"/>
      <w:bookmarkEnd w:id="5"/>
      <w:r>
        <w:t>CA with M</w:t>
      </w:r>
      <w:r w:rsidR="005A54DF">
        <w:t xml:space="preserve">ixed </w:t>
      </w:r>
      <w:r>
        <w:t>N</w:t>
      </w:r>
      <w:r w:rsidR="005A54DF">
        <w:t>umerology</w:t>
      </w:r>
      <w:bookmarkEnd w:id="6"/>
    </w:p>
    <w:p w14:paraId="0423B44A" w14:textId="78095569" w:rsidR="005570AE" w:rsidRDefault="005570AE" w:rsidP="005570AE">
      <w:pPr>
        <w:pStyle w:val="Heading3"/>
      </w:pPr>
      <w:r>
        <w:t>Cross-</w:t>
      </w:r>
      <w:r w:rsidR="009E2303">
        <w:t>c</w:t>
      </w:r>
      <w:r>
        <w:t xml:space="preserve">arrier </w:t>
      </w:r>
      <w:r w:rsidR="009E2303">
        <w:t>s</w:t>
      </w:r>
      <w:r>
        <w:t xml:space="preserve">cheduling for </w:t>
      </w:r>
      <w:r w:rsidR="009E2303">
        <w:t>m</w:t>
      </w:r>
      <w:r>
        <w:t xml:space="preserve">ixed </w:t>
      </w:r>
      <w:r w:rsidR="009E2303">
        <w:t>n</w:t>
      </w:r>
      <w:r>
        <w:t>umerology CA</w:t>
      </w:r>
    </w:p>
    <w:p w14:paraId="68C823A4" w14:textId="77777777" w:rsidR="005570AE" w:rsidRDefault="005570AE" w:rsidP="005570AE">
      <w:pPr>
        <w:rPr>
          <w:lang w:val="en-GB"/>
        </w:rPr>
      </w:pPr>
      <w:r>
        <w:rPr>
          <w:lang w:val="en-GB"/>
        </w:rPr>
        <w:t>For carrier aggregation in NR, given that details for cross-carrier scheduling with same numerology and self-carrier scheduling with mixed numerology still need to be resolved, with only one RAN1 meeting before Rel-15 is concluded, we propose that NR supports only a very limited version of cross-carrier scheduling with CIF for mixed numerology CA in Rel-15, if progress permits.</w:t>
      </w:r>
    </w:p>
    <w:p w14:paraId="610C4396" w14:textId="77777777" w:rsidR="005570AE" w:rsidRDefault="005570AE" w:rsidP="005570AE">
      <w:pPr>
        <w:rPr>
          <w:lang w:val="en-GB"/>
        </w:rPr>
      </w:pPr>
      <w:r>
        <w:rPr>
          <w:lang w:val="en-GB"/>
        </w:rPr>
        <w:t>In particular, within a single meeting, we should prioritize the following issues relating to cross-carrier scheduling with same numerology, and self-carrier scheduling with mixed numerology first</w:t>
      </w:r>
    </w:p>
    <w:p w14:paraId="2E89B8BF" w14:textId="77777777" w:rsidR="005570AE" w:rsidRDefault="005570AE" w:rsidP="005570AE">
      <w:pPr>
        <w:pStyle w:val="ListParagraph"/>
        <w:numPr>
          <w:ilvl w:val="0"/>
          <w:numId w:val="7"/>
        </w:numPr>
      </w:pPr>
      <w:r>
        <w:t>CCE and blind decoding limits</w:t>
      </w:r>
    </w:p>
    <w:p w14:paraId="74813666" w14:textId="77777777" w:rsidR="005570AE" w:rsidRDefault="005570AE" w:rsidP="005570AE">
      <w:pPr>
        <w:pStyle w:val="ListParagraph"/>
        <w:numPr>
          <w:ilvl w:val="0"/>
          <w:numId w:val="7"/>
        </w:numPr>
      </w:pPr>
      <w:r>
        <w:t>Overbooking handling associated with above limits</w:t>
      </w:r>
    </w:p>
    <w:p w14:paraId="1C10DE0B" w14:textId="77777777" w:rsidR="005570AE" w:rsidRPr="0017730B" w:rsidRDefault="005570AE" w:rsidP="005570AE">
      <w:pPr>
        <w:pStyle w:val="Caption"/>
        <w:rPr>
          <w:b w:val="0"/>
        </w:rPr>
      </w:pPr>
      <w:bookmarkStart w:id="7" w:name="_Toc513662146"/>
      <w:bookmarkStart w:id="8" w:name="_Toc513662449"/>
    </w:p>
    <w:p w14:paraId="4E23108E" w14:textId="47837D19" w:rsidR="005570AE" w:rsidRPr="0017730B" w:rsidRDefault="005570AE" w:rsidP="005570AE">
      <w:pPr>
        <w:pStyle w:val="Caption"/>
      </w:pPr>
      <w:bookmarkStart w:id="9" w:name="_Toc513840170"/>
      <w:r>
        <w:t xml:space="preserve">Observation </w:t>
      </w:r>
      <w:r w:rsidR="009544FE">
        <w:fldChar w:fldCharType="begin"/>
      </w:r>
      <w:r w:rsidR="009544FE">
        <w:instrText xml:space="preserve"> SEQ Observation \* ARABIC </w:instrText>
      </w:r>
      <w:r w:rsidR="009544FE">
        <w:fldChar w:fldCharType="separate"/>
      </w:r>
      <w:r w:rsidR="00000F59">
        <w:rPr>
          <w:noProof/>
        </w:rPr>
        <w:t>1</w:t>
      </w:r>
      <w:r w:rsidR="009544FE">
        <w:rPr>
          <w:noProof/>
        </w:rPr>
        <w:fldChar w:fldCharType="end"/>
      </w:r>
      <w:r>
        <w:t>: Specification for cross-carrier scheduling with CIF for mixed numerology CA depends on the resolution of other issues (such as those related to cross-carrier scheduling with same numerology and self-carrier scheduling with mixed numerology CA).</w:t>
      </w:r>
      <w:bookmarkEnd w:id="9"/>
    </w:p>
    <w:p w14:paraId="323EF925" w14:textId="77777777" w:rsidR="005570AE" w:rsidRDefault="005570AE" w:rsidP="005570AE">
      <w:pPr>
        <w:pStyle w:val="Caption"/>
        <w:rPr>
          <w:b w:val="0"/>
        </w:rPr>
      </w:pPr>
    </w:p>
    <w:p w14:paraId="7CB6BA7B" w14:textId="091CF14E" w:rsidR="000A1FC0" w:rsidRDefault="005570AE" w:rsidP="005570AE">
      <w:pPr>
        <w:pStyle w:val="Caption"/>
        <w:rPr>
          <w:b w:val="0"/>
        </w:rPr>
      </w:pPr>
      <w:r>
        <w:rPr>
          <w:b w:val="0"/>
        </w:rPr>
        <w:t xml:space="preserve">Only if above issues are resolved and a solid baseline is established, then we can move towards specification for cross-carrier scheduling with CIF for mixed numerology CA. </w:t>
      </w:r>
    </w:p>
    <w:p w14:paraId="3661F11D" w14:textId="64A0BD25" w:rsidR="000A1FC0" w:rsidRDefault="000A1FC0" w:rsidP="000A1FC0">
      <w:r>
        <w:t xml:space="preserve">Some of the issues with cross-carrier scheduling for mixed numerology CA have been pointed out in </w:t>
      </w:r>
      <w:r>
        <w:fldChar w:fldCharType="begin"/>
      </w:r>
      <w:r>
        <w:instrText xml:space="preserve"> REF _Ref513827037 \r \h </w:instrText>
      </w:r>
      <w:r>
        <w:fldChar w:fldCharType="separate"/>
      </w:r>
      <w:r w:rsidR="00000F59">
        <w:t>[7]</w:t>
      </w:r>
      <w:r>
        <w:fldChar w:fldCharType="end"/>
      </w:r>
      <w:r>
        <w:t xml:space="preserve">. </w:t>
      </w:r>
      <w:r w:rsidRPr="000A1FC0">
        <w:t>For example, if a carrier with a lower numerology cross-carrier schedules a carrier of a higher numerology, the PDCCH load on the carrier of the lower numerology can potentially be very high as it would need to cover multiple high-numerology slots in a single slot.</w:t>
      </w:r>
      <w:r>
        <w:t xml:space="preserve"> It does not seem like RAN1 has sufficient discussion of possible solutions at least for this issue.</w:t>
      </w:r>
    </w:p>
    <w:p w14:paraId="126CCB82" w14:textId="3970F179" w:rsidR="000A1FC0" w:rsidRPr="00606E5E" w:rsidRDefault="000A1FC0" w:rsidP="00606E5E">
      <w:r>
        <w:t>Realistically, if cross-carrier scheduling for mixed numerology CA is to be supported for Rel-15, it has to be a simplified version that is based on extension of (</w:t>
      </w:r>
      <w:proofErr w:type="spellStart"/>
      <w:r>
        <w:t>i</w:t>
      </w:r>
      <w:proofErr w:type="spellEnd"/>
      <w:r>
        <w:t xml:space="preserve">) cross-carrier scheduling with same numerology, and (ii) self-carrier </w:t>
      </w:r>
      <w:r>
        <w:lastRenderedPageBreak/>
        <w:t xml:space="preserve">scheduling with mixed numerology. One important </w:t>
      </w:r>
      <w:r w:rsidR="00C75605">
        <w:t>design guideline</w:t>
      </w:r>
      <w:r>
        <w:t xml:space="preserve"> is </w:t>
      </w:r>
      <w:r w:rsidR="00C75605">
        <w:t xml:space="preserve">to keep </w:t>
      </w:r>
      <w:r>
        <w:t xml:space="preserve">the PDCCH loading on the scheduling carrier </w:t>
      </w:r>
      <w:r w:rsidR="00C75605">
        <w:t xml:space="preserve">similar to </w:t>
      </w:r>
      <w:r>
        <w:t xml:space="preserve">the level required </w:t>
      </w:r>
      <w:r w:rsidR="00C75605">
        <w:t>for (</w:t>
      </w:r>
      <w:proofErr w:type="spellStart"/>
      <w:r w:rsidR="00C75605">
        <w:t>i</w:t>
      </w:r>
      <w:proofErr w:type="spellEnd"/>
      <w:r w:rsidR="00C75605">
        <w:t xml:space="preserve">), with consideration for </w:t>
      </w:r>
      <w:r>
        <w:t>(ii).</w:t>
      </w:r>
    </w:p>
    <w:p w14:paraId="34E8C6F3" w14:textId="754F427D" w:rsidR="005570AE" w:rsidRPr="008431F3" w:rsidRDefault="005570AE" w:rsidP="005570AE">
      <w:pPr>
        <w:pStyle w:val="Caption"/>
        <w:rPr>
          <w:b w:val="0"/>
        </w:rPr>
      </w:pPr>
      <w:r>
        <w:rPr>
          <w:b w:val="0"/>
        </w:rPr>
        <w:t>The following approach is proposed:</w:t>
      </w:r>
    </w:p>
    <w:p w14:paraId="508CB8F7" w14:textId="19F8E374" w:rsidR="00C75605" w:rsidRDefault="005570AE" w:rsidP="005570AE">
      <w:pPr>
        <w:pStyle w:val="Caption"/>
      </w:pPr>
      <w:bookmarkStart w:id="10" w:name="_Toc513840171"/>
      <w:bookmarkStart w:id="11" w:name="_Toc513817158"/>
      <w:bookmarkStart w:id="12" w:name="_Toc513818246"/>
      <w:bookmarkStart w:id="13" w:name="_Toc513818586"/>
      <w:bookmarkStart w:id="14" w:name="_Toc513818900"/>
      <w:bookmarkStart w:id="15" w:name="_Toc513821745"/>
      <w:r>
        <w:t xml:space="preserve">Proposal </w:t>
      </w:r>
      <w:r w:rsidR="009544FE">
        <w:fldChar w:fldCharType="begin"/>
      </w:r>
      <w:r w:rsidR="009544FE">
        <w:instrText xml:space="preserve"> SEQ Proposal \* ARABIC </w:instrText>
      </w:r>
      <w:r w:rsidR="009544FE">
        <w:fldChar w:fldCharType="separate"/>
      </w:r>
      <w:r w:rsidR="00000F59">
        <w:rPr>
          <w:noProof/>
        </w:rPr>
        <w:t>1</w:t>
      </w:r>
      <w:r w:rsidR="009544FE">
        <w:rPr>
          <w:noProof/>
        </w:rPr>
        <w:fldChar w:fldCharType="end"/>
      </w:r>
      <w:r>
        <w:t xml:space="preserve">: </w:t>
      </w:r>
      <w:r w:rsidR="00C75605">
        <w:t>S</w:t>
      </w:r>
      <w:r>
        <w:t xml:space="preserve">upport </w:t>
      </w:r>
      <w:r w:rsidR="00C75605">
        <w:t xml:space="preserve">for </w:t>
      </w:r>
      <w:r>
        <w:t>cross-carrier scheduling with CIF for mixed numerology CA</w:t>
      </w:r>
      <w:r w:rsidR="00C75605">
        <w:t xml:space="preserve"> </w:t>
      </w:r>
      <w:r>
        <w:t>in Rel-15</w:t>
      </w:r>
      <w:r w:rsidR="00C75605">
        <w:t xml:space="preserve"> can be considered only if restrictions are put in place to keep complexity and specification effort manageable</w:t>
      </w:r>
      <w:bookmarkEnd w:id="10"/>
    </w:p>
    <w:p w14:paraId="3C365DFA" w14:textId="77777777" w:rsidR="00C75605" w:rsidRDefault="00C75605" w:rsidP="008539F8">
      <w:pPr>
        <w:pStyle w:val="Caption"/>
        <w:numPr>
          <w:ilvl w:val="0"/>
          <w:numId w:val="29"/>
        </w:numPr>
      </w:pPr>
      <w:r>
        <w:t>For example,</w:t>
      </w:r>
    </w:p>
    <w:p w14:paraId="5B8A76DE" w14:textId="34C722C8" w:rsidR="00C75605" w:rsidRDefault="00C75605" w:rsidP="00C75605">
      <w:pPr>
        <w:pStyle w:val="Caption"/>
        <w:numPr>
          <w:ilvl w:val="1"/>
          <w:numId w:val="29"/>
        </w:numPr>
      </w:pPr>
      <w:r>
        <w:t>Restrictions such that PDCCH loading on the scheduling carrier does not increase compared to the cross-carrier scheduling with same numerology baseline.</w:t>
      </w:r>
      <w:bookmarkEnd w:id="7"/>
      <w:bookmarkEnd w:id="8"/>
      <w:bookmarkEnd w:id="11"/>
      <w:bookmarkEnd w:id="12"/>
      <w:bookmarkEnd w:id="13"/>
      <w:bookmarkEnd w:id="14"/>
      <w:bookmarkEnd w:id="15"/>
    </w:p>
    <w:p w14:paraId="460F0A4D" w14:textId="53D1D809" w:rsidR="00C75605" w:rsidRPr="00606E5E" w:rsidRDefault="00C75605" w:rsidP="00606E5E">
      <w:pPr>
        <w:pStyle w:val="ListParagraph"/>
        <w:numPr>
          <w:ilvl w:val="1"/>
          <w:numId w:val="29"/>
        </w:numPr>
        <w:rPr>
          <w:b/>
        </w:rPr>
      </w:pPr>
      <w:r w:rsidRPr="00606E5E">
        <w:rPr>
          <w:b/>
        </w:rPr>
        <w:t>Simple</w:t>
      </w:r>
      <w:r>
        <w:rPr>
          <w:b/>
        </w:rPr>
        <w:t xml:space="preserve"> extension to CCE and blind decoding limits and overbooking handling mechanism</w:t>
      </w:r>
    </w:p>
    <w:p w14:paraId="6A905F9D" w14:textId="77777777" w:rsidR="005570AE" w:rsidRDefault="005570AE" w:rsidP="005570AE">
      <w:pPr>
        <w:rPr>
          <w:lang w:val="en-GB"/>
        </w:rPr>
      </w:pPr>
      <w:r>
        <w:rPr>
          <w:lang w:val="en-GB"/>
        </w:rPr>
        <w:t>Note: Above proposal does not impact the SUL feature.</w:t>
      </w:r>
    </w:p>
    <w:p w14:paraId="05B955EC" w14:textId="77777777" w:rsidR="004D5C87" w:rsidRPr="00D81303" w:rsidRDefault="004D5C87" w:rsidP="005A54DF"/>
    <w:p w14:paraId="71F76125" w14:textId="1B677EE4" w:rsidR="005570AE" w:rsidRDefault="005570AE" w:rsidP="00044EDB">
      <w:pPr>
        <w:pStyle w:val="Heading3"/>
      </w:pPr>
      <w:bookmarkStart w:id="16" w:name="_Ref503531383"/>
      <w:r>
        <w:t>Clarifications for cross-carrier scheduling</w:t>
      </w:r>
    </w:p>
    <w:p w14:paraId="6C7BBD7A" w14:textId="702FDE1B" w:rsidR="005570AE" w:rsidRDefault="005570AE" w:rsidP="005570AE">
      <w:pPr>
        <w:rPr>
          <w:lang w:val="en-GB"/>
        </w:rPr>
      </w:pPr>
      <w:r>
        <w:rPr>
          <w:lang w:val="en-GB"/>
        </w:rPr>
        <w:t xml:space="preserve">The following clarifications </w:t>
      </w:r>
      <w:r w:rsidR="00EE7D0B">
        <w:rPr>
          <w:lang w:val="en-GB"/>
        </w:rPr>
        <w:t xml:space="preserve">based on </w:t>
      </w:r>
      <w:r>
        <w:rPr>
          <w:lang w:val="en-GB"/>
        </w:rPr>
        <w:t xml:space="preserve">the offline summary </w:t>
      </w:r>
      <w:r>
        <w:rPr>
          <w:lang w:val="en-GB"/>
        </w:rPr>
        <w:fldChar w:fldCharType="begin"/>
      </w:r>
      <w:r>
        <w:rPr>
          <w:lang w:val="en-GB"/>
        </w:rPr>
        <w:instrText xml:space="preserve"> REF _Ref513817382 \r \h </w:instrText>
      </w:r>
      <w:r>
        <w:rPr>
          <w:lang w:val="en-GB"/>
        </w:rPr>
      </w:r>
      <w:r>
        <w:rPr>
          <w:lang w:val="en-GB"/>
        </w:rPr>
        <w:fldChar w:fldCharType="separate"/>
      </w:r>
      <w:r w:rsidR="00000F59">
        <w:rPr>
          <w:lang w:val="en-GB"/>
        </w:rPr>
        <w:t>[6]</w:t>
      </w:r>
      <w:r>
        <w:rPr>
          <w:lang w:val="en-GB"/>
        </w:rPr>
        <w:fldChar w:fldCharType="end"/>
      </w:r>
      <w:r>
        <w:rPr>
          <w:lang w:val="en-GB"/>
        </w:rPr>
        <w:t xml:space="preserve"> should be</w:t>
      </w:r>
      <w:r w:rsidR="00EE7D0B">
        <w:rPr>
          <w:lang w:val="en-GB"/>
        </w:rPr>
        <w:t xml:space="preserve"> discussed and</w:t>
      </w:r>
      <w:r>
        <w:rPr>
          <w:lang w:val="en-GB"/>
        </w:rPr>
        <w:t xml:space="preserve"> endorsed</w:t>
      </w:r>
      <w:r w:rsidR="00E909D9">
        <w:rPr>
          <w:lang w:val="en-GB"/>
        </w:rPr>
        <w:t>. Further clarifications added by this contribution are underlined</w:t>
      </w:r>
      <w:r>
        <w:rPr>
          <w:lang w:val="en-GB"/>
        </w:rPr>
        <w:t>:</w:t>
      </w:r>
    </w:p>
    <w:p w14:paraId="7A5539F6" w14:textId="73581B9E" w:rsidR="005570AE" w:rsidRDefault="005570AE" w:rsidP="005570AE">
      <w:pPr>
        <w:pStyle w:val="ListParagraph"/>
        <w:numPr>
          <w:ilvl w:val="0"/>
          <w:numId w:val="27"/>
        </w:numPr>
      </w:pPr>
      <w:r>
        <w:t>Cross carrier slot-based scheduling is allowed toward equal or later slot only</w:t>
      </w:r>
    </w:p>
    <w:p w14:paraId="16286BD2" w14:textId="5498D307" w:rsidR="00EE7D0B" w:rsidRPr="00E909D9" w:rsidRDefault="00EE7D0B" w:rsidP="00EE7D0B">
      <w:pPr>
        <w:pStyle w:val="ListParagraph"/>
        <w:numPr>
          <w:ilvl w:val="1"/>
          <w:numId w:val="27"/>
        </w:numPr>
        <w:rPr>
          <w:u w:val="single"/>
        </w:rPr>
      </w:pPr>
      <w:r w:rsidRPr="00E909D9">
        <w:rPr>
          <w:u w:val="single"/>
        </w:rPr>
        <w:t>Slot timing is defined by the beginning of the slot</w:t>
      </w:r>
    </w:p>
    <w:p w14:paraId="650871CE" w14:textId="6CF6EF15" w:rsidR="005570AE" w:rsidRDefault="005570AE" w:rsidP="005570AE">
      <w:pPr>
        <w:pStyle w:val="ListParagraph"/>
        <w:numPr>
          <w:ilvl w:val="0"/>
          <w:numId w:val="27"/>
        </w:numPr>
      </w:pPr>
      <w:r>
        <w:t>When larger SCS schedules smaller SCS, overlapping slot is considered as K0=0</w:t>
      </w:r>
      <w:r w:rsidR="00EE7D0B">
        <w:t xml:space="preserve"> </w:t>
      </w:r>
      <w:r w:rsidR="00EE7D0B" w:rsidRPr="00E909D9">
        <w:rPr>
          <w:u w:val="single"/>
        </w:rPr>
        <w:t>(or K2=0)</w:t>
      </w:r>
    </w:p>
    <w:p w14:paraId="4A23F1ED" w14:textId="1D6AB65B" w:rsidR="005570AE" w:rsidRDefault="005570AE" w:rsidP="005570AE">
      <w:pPr>
        <w:pStyle w:val="ListParagraph"/>
        <w:numPr>
          <w:ilvl w:val="0"/>
          <w:numId w:val="27"/>
        </w:numPr>
      </w:pPr>
      <w:r>
        <w:t xml:space="preserve">When smaller SCS schedules larger SCS, K0=0 </w:t>
      </w:r>
      <w:r w:rsidR="00EE7D0B" w:rsidRPr="00E909D9">
        <w:rPr>
          <w:u w:val="single"/>
        </w:rPr>
        <w:t>(or K2=0)</w:t>
      </w:r>
      <w:r w:rsidR="00EE7D0B">
        <w:t xml:space="preserve"> </w:t>
      </w:r>
      <w:r>
        <w:t>is defined for slot with boundary aligned with that of slot containing the corresponding PDCCH</w:t>
      </w:r>
    </w:p>
    <w:p w14:paraId="491B2158" w14:textId="05E497BA" w:rsidR="00EE7D0B" w:rsidRPr="00E909D9" w:rsidRDefault="00EE7D0B" w:rsidP="00EE7D0B">
      <w:pPr>
        <w:pStyle w:val="ListParagraph"/>
        <w:numPr>
          <w:ilvl w:val="1"/>
          <w:numId w:val="27"/>
        </w:numPr>
        <w:rPr>
          <w:u w:val="single"/>
        </w:rPr>
      </w:pPr>
      <w:r w:rsidRPr="00E909D9">
        <w:rPr>
          <w:u w:val="single"/>
        </w:rPr>
        <w:t>Slot boundary is defined as the beginning slot boundary</w:t>
      </w:r>
    </w:p>
    <w:p w14:paraId="6FE64B80" w14:textId="4CCBFBE3" w:rsidR="005570AE" w:rsidRDefault="005570AE" w:rsidP="005570AE">
      <w:pPr>
        <w:pStyle w:val="ListParagraph"/>
        <w:numPr>
          <w:ilvl w:val="0"/>
          <w:numId w:val="27"/>
        </w:numPr>
      </w:pPr>
      <w:r>
        <w:t>When HARQ-ACK is transmitted on a carrier with smaller SCS, overlapping slot is considered as K1=0</w:t>
      </w:r>
    </w:p>
    <w:p w14:paraId="488B0CDB" w14:textId="7B57B58C" w:rsidR="005570AE" w:rsidRDefault="005570AE" w:rsidP="005570AE">
      <w:pPr>
        <w:pStyle w:val="ListParagraph"/>
        <w:numPr>
          <w:ilvl w:val="0"/>
          <w:numId w:val="27"/>
        </w:numPr>
      </w:pPr>
      <w:r>
        <w:t>When HARQ-ACK is transmitted on a carrier with larger SCS, K1=0 is defined for slot with end boundary aligned with that of slot for the corresponding PDSCH</w:t>
      </w:r>
    </w:p>
    <w:p w14:paraId="6EDCAD00" w14:textId="69C934BE" w:rsidR="00EE7D0B" w:rsidRDefault="00EE7D0B" w:rsidP="00EE7D0B"/>
    <w:p w14:paraId="66F944CC" w14:textId="7A19BED2" w:rsidR="00E909D9" w:rsidRDefault="00E909D9" w:rsidP="00E909D9">
      <w:pPr>
        <w:pStyle w:val="Caption"/>
      </w:pPr>
      <w:bookmarkStart w:id="17" w:name="_Toc513818587"/>
      <w:bookmarkStart w:id="18" w:name="_Toc513818901"/>
      <w:bookmarkStart w:id="19" w:name="_Toc513821746"/>
      <w:bookmarkStart w:id="20" w:name="_Toc513840172"/>
      <w:r>
        <w:t xml:space="preserve">Proposal </w:t>
      </w:r>
      <w:r w:rsidR="009544FE">
        <w:fldChar w:fldCharType="begin"/>
      </w:r>
      <w:r w:rsidR="009544FE">
        <w:instrText xml:space="preserve"> SEQ Proposal \* ARABIC </w:instrText>
      </w:r>
      <w:r w:rsidR="009544FE">
        <w:fldChar w:fldCharType="separate"/>
      </w:r>
      <w:r w:rsidR="00000F59">
        <w:rPr>
          <w:noProof/>
        </w:rPr>
        <w:t>2</w:t>
      </w:r>
      <w:r w:rsidR="009544FE">
        <w:rPr>
          <w:noProof/>
        </w:rPr>
        <w:fldChar w:fldCharType="end"/>
      </w:r>
      <w:r>
        <w:t>: The clarifications for cross-carrier scheduling in R1-1805719 “Offline summary on CA aspects” should be endorsed with some further clarifications.</w:t>
      </w:r>
      <w:bookmarkEnd w:id="17"/>
      <w:bookmarkEnd w:id="18"/>
      <w:bookmarkEnd w:id="19"/>
      <w:bookmarkEnd w:id="20"/>
    </w:p>
    <w:p w14:paraId="69BB6183" w14:textId="77777777" w:rsidR="00E909D9" w:rsidRPr="00E909D9" w:rsidRDefault="00E909D9" w:rsidP="00E909D9"/>
    <w:p w14:paraId="659BF247" w14:textId="4305AA21" w:rsidR="00EE7D0B" w:rsidRDefault="00EE7D0B" w:rsidP="00EE7D0B">
      <w:r>
        <w:t>We have the following additional proposals:</w:t>
      </w:r>
    </w:p>
    <w:p w14:paraId="4B5C892E" w14:textId="22255050" w:rsidR="00EE7D0B" w:rsidRDefault="00E909D9" w:rsidP="00E909D9">
      <w:pPr>
        <w:pStyle w:val="Caption"/>
      </w:pPr>
      <w:bookmarkStart w:id="21" w:name="_Toc513818588"/>
      <w:bookmarkStart w:id="22" w:name="_Toc513818902"/>
      <w:bookmarkStart w:id="23" w:name="_Toc513821747"/>
      <w:bookmarkStart w:id="24" w:name="_Toc513840173"/>
      <w:r>
        <w:t xml:space="preserve">Proposal </w:t>
      </w:r>
      <w:r w:rsidR="009544FE">
        <w:fldChar w:fldCharType="begin"/>
      </w:r>
      <w:r w:rsidR="009544FE">
        <w:instrText xml:space="preserve"> SEQ Proposal \* ARABIC </w:instrText>
      </w:r>
      <w:r w:rsidR="009544FE">
        <w:fldChar w:fldCharType="separate"/>
      </w:r>
      <w:r w:rsidR="00000F59">
        <w:rPr>
          <w:noProof/>
        </w:rPr>
        <w:t>3</w:t>
      </w:r>
      <w:r w:rsidR="009544FE">
        <w:rPr>
          <w:noProof/>
        </w:rPr>
        <w:fldChar w:fldCharType="end"/>
      </w:r>
      <w:r>
        <w:t xml:space="preserve">: </w:t>
      </w:r>
      <w:r w:rsidR="00EE7D0B" w:rsidRPr="00EE7D0B">
        <w:t xml:space="preserve">A separate DCI per grant is supported for cross carrier scheduling with mixed numerology </w:t>
      </w:r>
      <w:r w:rsidR="00366829">
        <w:t xml:space="preserve">CA </w:t>
      </w:r>
      <w:r w:rsidR="00EE7D0B" w:rsidRPr="00EE7D0B">
        <w:t>in Rel-15.</w:t>
      </w:r>
      <w:bookmarkEnd w:id="21"/>
      <w:bookmarkEnd w:id="22"/>
      <w:bookmarkEnd w:id="23"/>
      <w:bookmarkEnd w:id="24"/>
    </w:p>
    <w:p w14:paraId="4B092EB5" w14:textId="622DD3B4" w:rsidR="00EE7D0B" w:rsidRDefault="00E909D9" w:rsidP="00E909D9">
      <w:pPr>
        <w:pStyle w:val="Caption"/>
      </w:pPr>
      <w:bookmarkStart w:id="25" w:name="_Toc513818589"/>
      <w:bookmarkStart w:id="26" w:name="_Toc513818903"/>
      <w:bookmarkStart w:id="27" w:name="_Toc513821748"/>
      <w:bookmarkStart w:id="28" w:name="_Toc513840174"/>
      <w:r>
        <w:t xml:space="preserve">Proposal </w:t>
      </w:r>
      <w:r w:rsidR="009544FE">
        <w:fldChar w:fldCharType="begin"/>
      </w:r>
      <w:r w:rsidR="009544FE">
        <w:instrText xml:space="preserve"> SEQ Proposal \* ARABIC </w:instrText>
      </w:r>
      <w:r w:rsidR="009544FE">
        <w:fldChar w:fldCharType="separate"/>
      </w:r>
      <w:r w:rsidR="00000F59">
        <w:rPr>
          <w:noProof/>
        </w:rPr>
        <w:t>4</w:t>
      </w:r>
      <w:r w:rsidR="009544FE">
        <w:rPr>
          <w:noProof/>
        </w:rPr>
        <w:fldChar w:fldCharType="end"/>
      </w:r>
      <w:r>
        <w:t xml:space="preserve">: </w:t>
      </w:r>
      <w:r w:rsidR="00EE7D0B" w:rsidRPr="00EE7D0B">
        <w:t>For cross carrier scheduling with mixed numerology</w:t>
      </w:r>
      <w:r w:rsidR="00366829">
        <w:t xml:space="preserve"> CA</w:t>
      </w:r>
      <w:r w:rsidR="00EE7D0B" w:rsidRPr="00EE7D0B">
        <w:t>, a single DCI is used to schedule the transmission of the same TB across multiple slots in slot-aggregation. The K1 timing starts from the end of the last transmission in the aggregated transmissions</w:t>
      </w:r>
      <w:r w:rsidR="00EE7D0B">
        <w:t>.</w:t>
      </w:r>
      <w:bookmarkEnd w:id="25"/>
      <w:bookmarkEnd w:id="26"/>
      <w:bookmarkEnd w:id="27"/>
      <w:bookmarkEnd w:id="28"/>
    </w:p>
    <w:p w14:paraId="66887036" w14:textId="537FCD89" w:rsidR="00EE7D0B" w:rsidRDefault="00E909D9" w:rsidP="00E909D9">
      <w:pPr>
        <w:pStyle w:val="Caption"/>
      </w:pPr>
      <w:bookmarkStart w:id="29" w:name="_Toc513818590"/>
      <w:bookmarkStart w:id="30" w:name="_Toc513818904"/>
      <w:bookmarkStart w:id="31" w:name="_Toc513821749"/>
      <w:bookmarkStart w:id="32" w:name="_Toc513840175"/>
      <w:r>
        <w:t xml:space="preserve">Proposal </w:t>
      </w:r>
      <w:r w:rsidR="009544FE">
        <w:fldChar w:fldCharType="begin"/>
      </w:r>
      <w:r w:rsidR="009544FE">
        <w:instrText xml:space="preserve"> SEQ Proposal</w:instrText>
      </w:r>
      <w:r w:rsidR="009544FE">
        <w:instrText xml:space="preserve"> \* ARABIC </w:instrText>
      </w:r>
      <w:r w:rsidR="009544FE">
        <w:fldChar w:fldCharType="separate"/>
      </w:r>
      <w:r w:rsidR="00000F59">
        <w:rPr>
          <w:noProof/>
        </w:rPr>
        <w:t>5</w:t>
      </w:r>
      <w:r w:rsidR="009544FE">
        <w:rPr>
          <w:noProof/>
        </w:rPr>
        <w:fldChar w:fldCharType="end"/>
      </w:r>
      <w:r>
        <w:t xml:space="preserve">: </w:t>
      </w:r>
      <w:r w:rsidR="00EE7D0B" w:rsidRPr="00EE7D0B">
        <w:t>Frequency-first, time-second DAI counter accumulation order is preferred for dynamic HARQ-ACK codebook.</w:t>
      </w:r>
      <w:bookmarkEnd w:id="29"/>
      <w:bookmarkEnd w:id="30"/>
      <w:bookmarkEnd w:id="31"/>
      <w:bookmarkEnd w:id="32"/>
    </w:p>
    <w:bookmarkEnd w:id="16"/>
    <w:p w14:paraId="4BA830E0" w14:textId="30F28456" w:rsidR="00026E4C" w:rsidRDefault="00E909D9" w:rsidP="005C2F71">
      <w:pPr>
        <w:rPr>
          <w:lang w:val="en-GB"/>
        </w:rPr>
      </w:pPr>
      <w:r>
        <w:rPr>
          <w:lang w:val="en-GB"/>
        </w:rPr>
        <w:t xml:space="preserve">For discussion details, please refer to our past contribution </w:t>
      </w:r>
      <w:r>
        <w:rPr>
          <w:lang w:val="en-GB"/>
        </w:rPr>
        <w:fldChar w:fldCharType="begin"/>
      </w:r>
      <w:r>
        <w:rPr>
          <w:lang w:val="en-GB"/>
        </w:rPr>
        <w:instrText xml:space="preserve"> REF _Ref513818612 \r \h </w:instrText>
      </w:r>
      <w:r>
        <w:rPr>
          <w:lang w:val="en-GB"/>
        </w:rPr>
      </w:r>
      <w:r>
        <w:rPr>
          <w:lang w:val="en-GB"/>
        </w:rPr>
        <w:fldChar w:fldCharType="separate"/>
      </w:r>
      <w:r w:rsidR="00000F59">
        <w:rPr>
          <w:lang w:val="en-GB"/>
        </w:rPr>
        <w:t>[5]</w:t>
      </w:r>
      <w:r>
        <w:rPr>
          <w:lang w:val="en-GB"/>
        </w:rPr>
        <w:fldChar w:fldCharType="end"/>
      </w:r>
      <w:r>
        <w:rPr>
          <w:lang w:val="en-GB"/>
        </w:rPr>
        <w:t>.</w:t>
      </w:r>
    </w:p>
    <w:p w14:paraId="0BA496C4" w14:textId="77777777" w:rsidR="00E909D9" w:rsidRDefault="00E909D9" w:rsidP="005C2F71">
      <w:pPr>
        <w:rPr>
          <w:lang w:val="en-GB"/>
        </w:rPr>
      </w:pPr>
    </w:p>
    <w:p w14:paraId="15C25CA2" w14:textId="77777777" w:rsidR="005570AE" w:rsidRDefault="005570AE" w:rsidP="005570AE">
      <w:pPr>
        <w:pStyle w:val="Heading2"/>
      </w:pPr>
      <w:r>
        <w:t>HARQ-ACK Issues</w:t>
      </w:r>
    </w:p>
    <w:p w14:paraId="5C687829" w14:textId="77777777" w:rsidR="005570AE" w:rsidRPr="00065BD4" w:rsidRDefault="005570AE" w:rsidP="005570AE">
      <w:pPr>
        <w:pStyle w:val="Heading3"/>
      </w:pPr>
      <w:r>
        <w:t>HARQ-ACK reporting for PDSCH candidate in multiple DAS</w:t>
      </w:r>
    </w:p>
    <w:p w14:paraId="2ED69769" w14:textId="3E0A5A39" w:rsidR="005570AE" w:rsidRDefault="005570AE" w:rsidP="005570AE">
      <w:r>
        <w:t xml:space="preserve">When UE is configured with semi-static HARQ-ACK codebook, the HARQ-ACK codebook is determined by a set of semi-static configurations, and the size of the codebook is determined at least by the number of values in k1 set, the number of DL carriers within the PUCCH group, the number of non-overlapped PDSCH per slot (and corresponding </w:t>
      </w:r>
      <w:r>
        <w:lastRenderedPageBreak/>
        <w:t>UE capability), number of CBGs per carrier. For each PUCCH occasion (or UCI piggybacked on PUSCH), the PDSCH candidates which are included as part of the codebook is called the downlink association set (DAS). DAS is determined base</w:t>
      </w:r>
      <w:r w:rsidR="00BA1534">
        <w:t xml:space="preserve">d </w:t>
      </w:r>
      <w:r>
        <w:t>on the values of k1 set (relative to the PUCCH occasion), and whether the slot corresponding to the k1 value is in the DL direction or not.</w:t>
      </w:r>
    </w:p>
    <w:p w14:paraId="797B5ACD" w14:textId="77777777" w:rsidR="005570AE" w:rsidRDefault="005570AE" w:rsidP="005570AE">
      <w:r>
        <w:t xml:space="preserve">If there are multiple values in the k1 set, a particular PDSCH candidate maybe included in multiple </w:t>
      </w:r>
      <w:proofErr w:type="gramStart"/>
      <w:r>
        <w:t>DAS, if</w:t>
      </w:r>
      <w:proofErr w:type="gramEnd"/>
      <w:r>
        <w:t xml:space="preserve"> the slot for the PDSCH candidate falls within the overlapping region of the DAS. The behavior for HARQ-ACK reporting in this scenario needs to be clearly specified.</w:t>
      </w:r>
    </w:p>
    <w:p w14:paraId="0C576B81" w14:textId="77777777" w:rsidR="005570AE" w:rsidRDefault="005570AE" w:rsidP="005570AE">
      <w:r>
        <w:t>Out of the multiple DAS that include the PDSCH candidate, only one of them corresponds to the k1 indicated in the DL assignment for the PDSCH that is actually scheduled. For the PUCCH corresponding to the indicated k1, the valid HARQ-ACK should be reported. The question is what should be reported for the other PUCCH associated with the DAS including the PDSCH candidate but do not correspond to the indicated k1.</w:t>
      </w:r>
    </w:p>
    <w:p w14:paraId="10C3DF40" w14:textId="77777777" w:rsidR="005570AE" w:rsidRDefault="005570AE" w:rsidP="005570AE">
      <w:proofErr w:type="gramStart"/>
      <w:r>
        <w:t>First</w:t>
      </w:r>
      <w:proofErr w:type="gramEnd"/>
      <w:r>
        <w:t xml:space="preserve"> we do not support the proposal to reduce HARQ-ACK codebook size by eliminating the HARQ-ACK bit for the PDSCH candidate included in the DAS but does not correspond to the indicated k1 in DL assignment. This is because we do not want the HARQ-ACK codebook size to depend on dynamic scheduling information.</w:t>
      </w:r>
    </w:p>
    <w:p w14:paraId="4558543F" w14:textId="77777777" w:rsidR="005570AE" w:rsidRDefault="005570AE" w:rsidP="005570AE">
      <w:r>
        <w:t>Another proposal is to repeat the valid HARQ-ACK bit for the PUCCH corresponding to the DAS that include the PDSCH candidate. The benefit for repeating the valid HARQ-ACK bit is for redundancy, i.e. in case one of the PUCCH is not decoded successfully, the HARQ-ACK bit may still be recovered from other PUCCH containing the same information. However, the downside for repetition is that it may have timeline implication.</w:t>
      </w:r>
    </w:p>
    <w:p w14:paraId="68A4BEFD" w14:textId="77777777" w:rsidR="005570AE" w:rsidRDefault="005570AE" w:rsidP="005570AE">
      <w:r>
        <w:t xml:space="preserve">This should be more clearly illustrated with the following example. It is assumed that the k1 set is {2, 5, 8}, and UE supports </w:t>
      </w:r>
      <w:r w:rsidRPr="004D03E0">
        <w:t>single non-overlapping PDSCH per slot</w:t>
      </w:r>
      <w:r>
        <w:t xml:space="preserve"> and CBG is not configured. Also, it is assumed that NACK is transmitted on the HARQ-ACK bit corresponding to unscheduled PDSCH candidate.</w:t>
      </w:r>
    </w:p>
    <w:p w14:paraId="133FE267" w14:textId="77777777" w:rsidR="005570AE" w:rsidRDefault="005570AE" w:rsidP="005570AE">
      <w:r>
        <w:t xml:space="preserve">The PDSCH candidate in Slot n is included in 3 DAS (A, B, C), which correspond to the PUCCH transmitted in Slot n+2 (PUCCH A), Slot n+5 (PUCCH B), and Slot n+8 (PUCCH C) respectively. </w:t>
      </w:r>
    </w:p>
    <w:p w14:paraId="14DD51E0" w14:textId="77777777" w:rsidR="005570AE" w:rsidRDefault="005570AE" w:rsidP="005570AE">
      <w:r w:rsidRPr="00B82DAA">
        <w:rPr>
          <w:noProof/>
        </w:rPr>
        <w:drawing>
          <wp:inline distT="0" distB="0" distL="0" distR="0" wp14:anchorId="1F79466F" wp14:editId="0A8FC095">
            <wp:extent cx="6120130" cy="18853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130" cy="1885315"/>
                    </a:xfrm>
                    <a:prstGeom prst="rect">
                      <a:avLst/>
                    </a:prstGeom>
                  </pic:spPr>
                </pic:pic>
              </a:graphicData>
            </a:graphic>
          </wp:inline>
        </w:drawing>
      </w:r>
    </w:p>
    <w:p w14:paraId="099ACAA8" w14:textId="77777777" w:rsidR="005570AE" w:rsidRDefault="005570AE" w:rsidP="005570AE">
      <w:r>
        <w:t>For HARQ-ACK reporting, “?” denotes the HARQ-ACK bits that do not correspond to PDSCH candidate in Slot n; it is not the focus of discussion in this example. For HARQ-ACK reporting for the PDSCH candidate in Slot n, the following are the options:</w:t>
      </w:r>
    </w:p>
    <w:p w14:paraId="125D3F10" w14:textId="77777777" w:rsidR="005570AE" w:rsidRDefault="005570AE" w:rsidP="005570AE">
      <w:pPr>
        <w:pStyle w:val="ListParagraph"/>
        <w:numPr>
          <w:ilvl w:val="0"/>
          <w:numId w:val="25"/>
        </w:numPr>
      </w:pPr>
      <w:r>
        <w:t>Alt 1: Only report valid HARQ-ACK in the PUCCH slot corresponding to the k1 value indicated in the DL assignment for the scheduled PDSCH.</w:t>
      </w:r>
    </w:p>
    <w:p w14:paraId="1E490CDA" w14:textId="77777777" w:rsidR="005570AE" w:rsidRDefault="005570AE" w:rsidP="005570AE">
      <w:pPr>
        <w:pStyle w:val="ListParagraph"/>
        <w:numPr>
          <w:ilvl w:val="0"/>
          <w:numId w:val="25"/>
        </w:numPr>
      </w:pPr>
      <w:r>
        <w:t>Alt 2: Report valid HARQ-ACK in all PUCCH slots associated with the DAS which include the PDSCH candidate.</w:t>
      </w:r>
    </w:p>
    <w:p w14:paraId="737EB7F9" w14:textId="77777777" w:rsidR="005570AE" w:rsidRDefault="005570AE" w:rsidP="005570AE">
      <w:r>
        <w:t>There is no question that the valid HARQ-ACK for PDSCH in Slot n should be reported in PUCCH B (Slot n+5</w:t>
      </w:r>
      <w:proofErr w:type="gramStart"/>
      <w:r>
        <w:t>), because</w:t>
      </w:r>
      <w:proofErr w:type="gramEnd"/>
      <w:r>
        <w:t xml:space="preserve"> this corresponds to the indicated k1 in the actual DL assignment.</w:t>
      </w:r>
    </w:p>
    <w:p w14:paraId="5F64AECF" w14:textId="77777777" w:rsidR="005570AE" w:rsidRDefault="005570AE" w:rsidP="005570AE">
      <w:r>
        <w:t>For the HARQ-ACK bits in other PUCCH, i.e. A and C,</w:t>
      </w:r>
    </w:p>
    <w:p w14:paraId="34933602" w14:textId="77777777" w:rsidR="005570AE" w:rsidRDefault="005570AE" w:rsidP="005570AE">
      <w:r>
        <w:t>With the above example, the following would be reported as X:</w:t>
      </w:r>
    </w:p>
    <w:p w14:paraId="0E8BB968" w14:textId="77777777" w:rsidR="005570AE" w:rsidRDefault="005570AE" w:rsidP="005570AE">
      <w:pPr>
        <w:pStyle w:val="ListParagraph"/>
        <w:numPr>
          <w:ilvl w:val="0"/>
          <w:numId w:val="23"/>
        </w:numPr>
      </w:pPr>
      <w:r>
        <w:t>Alt 1: ACK for PUCCH B, NACK for PUCCH A, C</w:t>
      </w:r>
    </w:p>
    <w:p w14:paraId="2154739F" w14:textId="77777777" w:rsidR="005570AE" w:rsidRDefault="005570AE" w:rsidP="005570AE">
      <w:pPr>
        <w:pStyle w:val="ListParagraph"/>
        <w:numPr>
          <w:ilvl w:val="0"/>
          <w:numId w:val="23"/>
        </w:numPr>
      </w:pPr>
      <w:r>
        <w:t>Alt 2: ACK for PUCCH A, B, C</w:t>
      </w:r>
    </w:p>
    <w:p w14:paraId="3FE44E03" w14:textId="77777777" w:rsidR="005570AE" w:rsidRDefault="005570AE" w:rsidP="005570AE">
      <w:r>
        <w:lastRenderedPageBreak/>
        <w:t>The disadvantage for Alt 1 is that if PUCCH B is missed, there is HARQ-ACK information is lost as PUCCH A and C does not carry redundant information.</w:t>
      </w:r>
    </w:p>
    <w:p w14:paraId="3491AC39" w14:textId="77777777" w:rsidR="005570AE" w:rsidRDefault="005570AE" w:rsidP="005570AE">
      <w:r>
        <w:t>The disadvantage for Alt 2 is stricter timeline for the UE. k1=5 is originally indicated in the DL assignment, and there are 5 slots from PDSCH to PUCCH. But because a valid HARQ-ACK has to be reported also for Slot n+2, this effectively tightened UE’s processing time from 5 slots to 2 slots. UE is imposed a tighter processing time budget simply due to an overlapping DAS. This does not seem to make sense.</w:t>
      </w:r>
    </w:p>
    <w:p w14:paraId="5388C618" w14:textId="77777777" w:rsidR="005570AE" w:rsidRDefault="005570AE" w:rsidP="005570AE">
      <w:r>
        <w:t>Therefore, we propose the following option:</w:t>
      </w:r>
    </w:p>
    <w:p w14:paraId="41247A2F" w14:textId="77777777" w:rsidR="005570AE" w:rsidRDefault="005570AE" w:rsidP="005570AE">
      <w:pPr>
        <w:pStyle w:val="ListParagraph"/>
        <w:numPr>
          <w:ilvl w:val="0"/>
          <w:numId w:val="26"/>
        </w:numPr>
      </w:pPr>
      <w:r>
        <w:t>Alt 3: For the same PDSCH candidate, for a PUCCH that corresponds to a smaller k1 than the indicated k1 in the DL assignment, report NACK in the PUCCH. For a PUCCH that corresponds to the same or larger k1 with respect to the indicated k1 in the DL assignment, report valid HARQ-ACK in the PUCCH.</w:t>
      </w:r>
    </w:p>
    <w:p w14:paraId="2F703365" w14:textId="77777777" w:rsidR="005570AE" w:rsidRDefault="005570AE" w:rsidP="005570AE">
      <w:r>
        <w:t>With the above example, the following would be reported as X:</w:t>
      </w:r>
    </w:p>
    <w:p w14:paraId="7E7066C1" w14:textId="77777777" w:rsidR="005570AE" w:rsidRDefault="005570AE" w:rsidP="005570AE">
      <w:pPr>
        <w:pStyle w:val="ListParagraph"/>
        <w:numPr>
          <w:ilvl w:val="0"/>
          <w:numId w:val="24"/>
        </w:numPr>
      </w:pPr>
      <w:r>
        <w:t>Alt 3: NACK for PUCCH A, ACK for PUCCH B, C</w:t>
      </w:r>
    </w:p>
    <w:p w14:paraId="3922FBBD" w14:textId="77777777" w:rsidR="005570AE" w:rsidRDefault="005570AE" w:rsidP="005570AE">
      <w:r>
        <w:t>Alt 3 achieves the best tradeoff in terms of timeline and allowing some HARQ-ACK redundancy. Therefore, it should be adopted.</w:t>
      </w:r>
    </w:p>
    <w:p w14:paraId="0E2064CB" w14:textId="77777777" w:rsidR="005570AE" w:rsidRDefault="005570AE" w:rsidP="005570AE"/>
    <w:p w14:paraId="0BC77F24" w14:textId="62EB22AB" w:rsidR="005570AE" w:rsidRDefault="005570AE" w:rsidP="005570AE">
      <w:pPr>
        <w:pStyle w:val="Caption"/>
      </w:pPr>
      <w:bookmarkStart w:id="33" w:name="_Toc513662450"/>
      <w:bookmarkStart w:id="34" w:name="_Toc513817162"/>
      <w:bookmarkStart w:id="35" w:name="_Toc513818247"/>
      <w:bookmarkStart w:id="36" w:name="_Toc513818591"/>
      <w:bookmarkStart w:id="37" w:name="_Toc513818905"/>
      <w:bookmarkStart w:id="38" w:name="_Toc513821750"/>
      <w:bookmarkStart w:id="39" w:name="_Toc513840176"/>
      <w:bookmarkStart w:id="40" w:name="_Toc513662147"/>
      <w:r>
        <w:t xml:space="preserve">Proposal </w:t>
      </w:r>
      <w:r w:rsidR="009544FE">
        <w:fldChar w:fldCharType="begin"/>
      </w:r>
      <w:r w:rsidR="009544FE">
        <w:instrText xml:space="preserve"> SEQ Proposal \* ARABIC </w:instrText>
      </w:r>
      <w:r w:rsidR="009544FE">
        <w:fldChar w:fldCharType="separate"/>
      </w:r>
      <w:r w:rsidR="00000F59">
        <w:rPr>
          <w:noProof/>
        </w:rPr>
        <w:t>6</w:t>
      </w:r>
      <w:r w:rsidR="009544FE">
        <w:rPr>
          <w:noProof/>
        </w:rPr>
        <w:fldChar w:fldCharType="end"/>
      </w:r>
      <w:r>
        <w:t>:</w:t>
      </w:r>
      <w:r w:rsidRPr="00504943">
        <w:t xml:space="preserve"> </w:t>
      </w:r>
      <w:r>
        <w:t>When a UE is configured with semi-static HARQ-ACK codebook, for a particular PDSCH candidate that belongs to multiple DL association sets, HARQ-ACK reporting should be done as follows: (a)  For a PUCCH that corresponds to a smaller k1 than the indicated k1 in the DL assignment, report NACK in the PUCCH, (b) For a PUCCH that corresponds to the same or larger k1 with respect to the indicated k1 in the DL assignment, report valid HARQ-ACK in the PUCCH</w:t>
      </w:r>
      <w:bookmarkEnd w:id="33"/>
      <w:r>
        <w:t>.</w:t>
      </w:r>
      <w:bookmarkEnd w:id="34"/>
      <w:bookmarkEnd w:id="35"/>
      <w:bookmarkEnd w:id="36"/>
      <w:bookmarkEnd w:id="37"/>
      <w:bookmarkEnd w:id="38"/>
      <w:bookmarkEnd w:id="39"/>
    </w:p>
    <w:bookmarkEnd w:id="40"/>
    <w:p w14:paraId="7F652ED0" w14:textId="77777777" w:rsidR="005570AE" w:rsidRDefault="005570AE" w:rsidP="005570AE">
      <w:pPr>
        <w:keepNext/>
      </w:pPr>
    </w:p>
    <w:p w14:paraId="67C1DE3E" w14:textId="77777777" w:rsidR="005570AE" w:rsidRDefault="005570AE" w:rsidP="005570AE">
      <w:r>
        <w:t>TP is included at the end.</w:t>
      </w:r>
    </w:p>
    <w:p w14:paraId="1377D3F5" w14:textId="77777777" w:rsidR="005570AE" w:rsidRPr="00CB3296" w:rsidRDefault="005570AE" w:rsidP="005570AE"/>
    <w:p w14:paraId="770B12E6" w14:textId="77777777" w:rsidR="005570AE" w:rsidRPr="00CC124C" w:rsidRDefault="005570AE" w:rsidP="005570AE">
      <w:pPr>
        <w:pStyle w:val="Heading3"/>
      </w:pPr>
      <w:bookmarkStart w:id="41" w:name="_Ref510803943"/>
      <w:r>
        <w:t>ACK/NACK padding in dynamic HARQ-ACK codebook</w:t>
      </w:r>
      <w:bookmarkEnd w:id="41"/>
    </w:p>
    <w:p w14:paraId="7EE10AE5" w14:textId="77777777" w:rsidR="005570AE" w:rsidRPr="0007272C" w:rsidRDefault="005570AE" w:rsidP="005570AE">
      <w:pPr>
        <w:jc w:val="both"/>
        <w:rPr>
          <w:i/>
          <w:lang w:eastAsia="zh-CN"/>
        </w:rPr>
      </w:pPr>
      <w:r w:rsidRPr="0007272C">
        <w:rPr>
          <w:i/>
          <w:lang w:eastAsia="zh-CN"/>
        </w:rPr>
        <w:t xml:space="preserve">(Note: This </w:t>
      </w:r>
      <w:r>
        <w:rPr>
          <w:i/>
          <w:lang w:eastAsia="zh-CN"/>
        </w:rPr>
        <w:t xml:space="preserve">section </w:t>
      </w:r>
      <w:r w:rsidRPr="0007272C">
        <w:rPr>
          <w:i/>
          <w:lang w:eastAsia="zh-CN"/>
        </w:rPr>
        <w:t>is resubmission. The issue has been briefly discussed during offline session during last meeting #92bis.)</w:t>
      </w:r>
    </w:p>
    <w:p w14:paraId="1A6BF173" w14:textId="77777777" w:rsidR="005570AE" w:rsidRPr="00CC124C" w:rsidRDefault="005570AE" w:rsidP="005570AE">
      <w:pPr>
        <w:jc w:val="both"/>
        <w:rPr>
          <w:lang w:eastAsia="zh-CN"/>
        </w:rPr>
      </w:pPr>
      <w:r w:rsidRPr="00CC124C">
        <w:rPr>
          <w:lang w:eastAsia="zh-CN"/>
        </w:rPr>
        <w:t>In 3GPP RAN1 #91bis meeting, regarding TB and CBG based HARQ-ACK codebook, the following is agreed.</w:t>
      </w:r>
    </w:p>
    <w:p w14:paraId="3A1A7ECD" w14:textId="77777777" w:rsidR="005570AE" w:rsidRPr="00CC124C" w:rsidRDefault="005570AE" w:rsidP="005570AE">
      <w:pPr>
        <w:rPr>
          <w:lang w:eastAsia="x-none"/>
        </w:rPr>
      </w:pPr>
      <w:r w:rsidRPr="00CC124C">
        <w:rPr>
          <w:highlight w:val="green"/>
          <w:lang w:eastAsia="x-none"/>
        </w:rPr>
        <w:t>Agreements</w:t>
      </w:r>
      <w:r w:rsidRPr="00CC124C">
        <w:rPr>
          <w:lang w:eastAsia="x-none"/>
        </w:rPr>
        <w:t>:</w:t>
      </w:r>
    </w:p>
    <w:p w14:paraId="257F56E4" w14:textId="77777777" w:rsidR="005570AE" w:rsidRPr="00CC124C" w:rsidRDefault="005570AE" w:rsidP="005570AE">
      <w:pPr>
        <w:numPr>
          <w:ilvl w:val="0"/>
          <w:numId w:val="9"/>
        </w:numPr>
        <w:overflowPunct/>
        <w:autoSpaceDE/>
        <w:autoSpaceDN/>
        <w:adjustRightInd/>
        <w:spacing w:after="0"/>
        <w:textAlignment w:val="auto"/>
      </w:pPr>
      <w:r w:rsidRPr="00CC124C">
        <w:t xml:space="preserve">Generate 2 HARQ-ACK sub-codebooks (sub-CBs) </w:t>
      </w:r>
    </w:p>
    <w:p w14:paraId="21352932" w14:textId="77777777" w:rsidR="005570AE" w:rsidRPr="00CC124C" w:rsidRDefault="005570AE" w:rsidP="005570AE">
      <w:pPr>
        <w:numPr>
          <w:ilvl w:val="1"/>
          <w:numId w:val="9"/>
        </w:numPr>
        <w:overflowPunct/>
        <w:autoSpaceDE/>
        <w:autoSpaceDN/>
        <w:adjustRightInd/>
        <w:spacing w:after="0"/>
        <w:textAlignment w:val="auto"/>
      </w:pPr>
      <w:r w:rsidRPr="00CC124C">
        <w:t>First sub-CB is for transmissions with TB-based HARQ-ACK, second sub-CB is for transmissions with CBG-based HARQ-ACK</w:t>
      </w:r>
    </w:p>
    <w:p w14:paraId="0F7A17C4" w14:textId="77777777" w:rsidR="005570AE" w:rsidRPr="00CC124C" w:rsidRDefault="005570AE" w:rsidP="005570AE">
      <w:pPr>
        <w:numPr>
          <w:ilvl w:val="1"/>
          <w:numId w:val="9"/>
        </w:numPr>
        <w:overflowPunct/>
        <w:autoSpaceDE/>
        <w:autoSpaceDN/>
        <w:adjustRightInd/>
        <w:spacing w:after="0"/>
        <w:textAlignment w:val="auto"/>
      </w:pPr>
      <w:r w:rsidRPr="00CC124C">
        <w:t>The sub-CBs are combined in a single HARQ-ACK codebook (sub-CB for TB-based HARQ-ACK is placed first)</w:t>
      </w:r>
    </w:p>
    <w:p w14:paraId="59EE814F" w14:textId="77777777" w:rsidR="005570AE" w:rsidRPr="00CC124C" w:rsidRDefault="005570AE" w:rsidP="005570AE"/>
    <w:p w14:paraId="2DE39C00" w14:textId="77777777" w:rsidR="005570AE" w:rsidRDefault="005570AE" w:rsidP="005570AE">
      <w:pPr>
        <w:jc w:val="both"/>
      </w:pPr>
      <w:r w:rsidRPr="00CC124C">
        <w:t xml:space="preserve">The agreement says that in the case when both CBG-based and TB-based transmissions are scheduled, their ACK/NACK are combined and coded together in PUCCH. Note that, in the case of dynamic HARQ-ACK codebook configuration, </w:t>
      </w:r>
      <w:proofErr w:type="spellStart"/>
      <w:r w:rsidRPr="00CC124C">
        <w:t>gNB</w:t>
      </w:r>
      <w:proofErr w:type="spellEnd"/>
      <w:r w:rsidRPr="00CC124C">
        <w:t>/UE relies on the mechanism of Counter/Total-DAI in the DL grant to resolve the ambiguity regarding the HARQ/ACK payload. Given that two separate DAI instances will be used, one for CBG-based transmission and one for TB-based transmission, HARQ/ACK payload size ambiguity will manifest itself whenever one of the DAI instance gets disrupted, leading to reduced robustness against grant-missing events. A particularly vulnerable case arises when there is only one or two TB based transmission and one or two CBG based transmissions are scheduled, in which case there is a good chance for HARQ-ACK payload size ambiguity should any grant be missed. To add a layer of protection against ACK/NACK payload size ambiguity, one design choice is to always pad the TB-based ACK-NACK bits to corresponds to at least one (or two) PDSCH(s</w:t>
      </w:r>
      <w:proofErr w:type="gramStart"/>
      <w:r w:rsidRPr="00CC124C">
        <w:t>), if</w:t>
      </w:r>
      <w:proofErr w:type="gramEnd"/>
      <w:r w:rsidRPr="00CC124C">
        <w:t xml:space="preserve"> UE receives CBG-based grant but no TB-based grant. The relative overhead for this scheme is small in this case: the HARQ-ACK feedback transmission anyway must carry the CBG based feedback, the additional padding bits for the 2 TBs is small in proportion.</w:t>
      </w:r>
    </w:p>
    <w:p w14:paraId="0FE47FD9" w14:textId="71DDD4EC" w:rsidR="005570AE" w:rsidRPr="00CC124C" w:rsidRDefault="005570AE" w:rsidP="005570AE">
      <w:pPr>
        <w:pStyle w:val="Caption"/>
      </w:pPr>
      <w:bookmarkStart w:id="42" w:name="_Toc506581800"/>
      <w:bookmarkStart w:id="43" w:name="_Toc506582127"/>
      <w:bookmarkStart w:id="44" w:name="_Toc506582149"/>
      <w:bookmarkStart w:id="45" w:name="_Toc510530213"/>
      <w:bookmarkStart w:id="46" w:name="_Toc510530374"/>
      <w:bookmarkStart w:id="47" w:name="_Toc510571487"/>
      <w:bookmarkStart w:id="48" w:name="_Toc510655941"/>
      <w:bookmarkStart w:id="49" w:name="_Toc510686221"/>
      <w:bookmarkStart w:id="50" w:name="_Toc510786119"/>
      <w:bookmarkStart w:id="51" w:name="_Toc510788213"/>
      <w:bookmarkStart w:id="52" w:name="_Toc510805183"/>
      <w:bookmarkStart w:id="53" w:name="_Toc510805339"/>
      <w:bookmarkStart w:id="54" w:name="_Toc510805578"/>
      <w:bookmarkStart w:id="55" w:name="_Toc510814011"/>
      <w:bookmarkStart w:id="56" w:name="_Toc513662148"/>
      <w:bookmarkStart w:id="57" w:name="_Toc513662451"/>
      <w:bookmarkStart w:id="58" w:name="_Toc513817163"/>
      <w:bookmarkStart w:id="59" w:name="_Toc513818248"/>
      <w:bookmarkStart w:id="60" w:name="_Toc513818592"/>
      <w:bookmarkStart w:id="61" w:name="_Toc513818906"/>
      <w:bookmarkStart w:id="62" w:name="_Toc513821751"/>
      <w:bookmarkStart w:id="63" w:name="_Toc513840177"/>
      <w:r>
        <w:t xml:space="preserve">Proposal </w:t>
      </w:r>
      <w:r w:rsidR="009544FE">
        <w:fldChar w:fldCharType="begin"/>
      </w:r>
      <w:r w:rsidR="009544FE">
        <w:instrText xml:space="preserve"> SEQ Proposal \* ARABI</w:instrText>
      </w:r>
      <w:r w:rsidR="009544FE">
        <w:instrText xml:space="preserve">C </w:instrText>
      </w:r>
      <w:r w:rsidR="009544FE">
        <w:fldChar w:fldCharType="separate"/>
      </w:r>
      <w:r w:rsidR="00000F59">
        <w:rPr>
          <w:noProof/>
        </w:rPr>
        <w:t>7</w:t>
      </w:r>
      <w:r w:rsidR="009544FE">
        <w:rPr>
          <w:noProof/>
        </w:rPr>
        <w:fldChar w:fldCharType="end"/>
      </w:r>
      <w:r>
        <w:t>:</w:t>
      </w:r>
      <w:r w:rsidRPr="00387D4C">
        <w:rPr>
          <w:lang w:eastAsia="x-none"/>
        </w:rPr>
        <w:t xml:space="preserve"> </w:t>
      </w:r>
      <w:r w:rsidRPr="00CC124C">
        <w:rPr>
          <w:lang w:eastAsia="x-none"/>
        </w:rPr>
        <w:t>When dynamic HARQ-ACK codebook is configured for a UE, and the UE received CBG-based transmission, then UE always pads two TB-based NACKs in the feedback.</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D022140" w14:textId="77777777" w:rsidR="005570AE" w:rsidRPr="005C2F71" w:rsidRDefault="005570AE" w:rsidP="005C2F71">
      <w:pPr>
        <w:rPr>
          <w:lang w:val="en-GB"/>
        </w:rPr>
      </w:pPr>
    </w:p>
    <w:p w14:paraId="12FEB97A" w14:textId="0DB86DDE" w:rsidR="00FF75D0" w:rsidRDefault="00387D4C" w:rsidP="00044EDB">
      <w:pPr>
        <w:pStyle w:val="Heading2"/>
      </w:pPr>
      <w:bookmarkStart w:id="64" w:name="_Ref510803949"/>
      <w:proofErr w:type="spellStart"/>
      <w:r>
        <w:t>SCell</w:t>
      </w:r>
      <w:proofErr w:type="spellEnd"/>
      <w:r>
        <w:t xml:space="preserve"> Power Saving</w:t>
      </w:r>
      <w:bookmarkEnd w:id="64"/>
    </w:p>
    <w:p w14:paraId="0B9556A8" w14:textId="7B2A3462" w:rsidR="0007272C" w:rsidRDefault="0007272C" w:rsidP="00387D4C">
      <w:pPr>
        <w:rPr>
          <w:lang w:val="en-GB"/>
        </w:rPr>
      </w:pPr>
      <w:r w:rsidRPr="0007272C">
        <w:rPr>
          <w:i/>
          <w:lang w:eastAsia="zh-CN"/>
        </w:rPr>
        <w:t xml:space="preserve">(Note: This </w:t>
      </w:r>
      <w:r>
        <w:rPr>
          <w:i/>
          <w:lang w:eastAsia="zh-CN"/>
        </w:rPr>
        <w:t xml:space="preserve">section </w:t>
      </w:r>
      <w:r w:rsidRPr="0007272C">
        <w:rPr>
          <w:i/>
          <w:lang w:eastAsia="zh-CN"/>
        </w:rPr>
        <w:t>is resubmission. The issue has been briefly discussed during offline session during last meeting #92bis.)</w:t>
      </w:r>
    </w:p>
    <w:p w14:paraId="3701859E" w14:textId="778D8788" w:rsidR="00387D4C" w:rsidRDefault="00387D4C" w:rsidP="00387D4C">
      <w:pPr>
        <w:rPr>
          <w:lang w:val="en-GB"/>
        </w:rPr>
      </w:pPr>
      <w:r w:rsidRPr="00387D4C">
        <w:rPr>
          <w:lang w:val="en-GB"/>
        </w:rPr>
        <w:t xml:space="preserve">LTE has recently introduced a new </w:t>
      </w:r>
      <w:proofErr w:type="spellStart"/>
      <w:r w:rsidRPr="00387D4C">
        <w:rPr>
          <w:lang w:val="en-GB"/>
        </w:rPr>
        <w:t>SCell</w:t>
      </w:r>
      <w:proofErr w:type="spellEnd"/>
      <w:r w:rsidRPr="00387D4C">
        <w:rPr>
          <w:lang w:val="en-GB"/>
        </w:rPr>
        <w:t xml:space="preserve"> state [1], distinct from activated and deactivated state. This new state allows periodic CSI of the </w:t>
      </w:r>
      <w:proofErr w:type="spellStart"/>
      <w:r w:rsidRPr="00387D4C">
        <w:rPr>
          <w:lang w:val="en-GB"/>
        </w:rPr>
        <w:t>SCell</w:t>
      </w:r>
      <w:proofErr w:type="spellEnd"/>
      <w:r w:rsidRPr="00387D4C">
        <w:rPr>
          <w:lang w:val="en-GB"/>
        </w:rPr>
        <w:t xml:space="preserve"> to be measured and reported, but otherwise is similar to legacy deactivated state and no data transactions are allowed and PDCCH is not monitored. The advantage is that the latency of transition into active state from this new state is reduced significantly compared to transition from deactivated state and the UE power consumption in the new state is much lower than that in active state and slightly higher than that in deactivated state. The fast state transition from low power new state to high power active state results in reduced overall UE power consumption for most traffic patterns.</w:t>
      </w:r>
    </w:p>
    <w:p w14:paraId="5AE911CC" w14:textId="3C8F52CF" w:rsidR="00387D4C" w:rsidRDefault="00387D4C" w:rsidP="00387D4C">
      <w:pPr>
        <w:rPr>
          <w:lang w:val="en-GB"/>
        </w:rPr>
      </w:pPr>
      <w:r>
        <w:rPr>
          <w:lang w:val="en-GB"/>
        </w:rPr>
        <w:t xml:space="preserve">Similar discussion </w:t>
      </w:r>
      <w:r w:rsidR="000B2250">
        <w:rPr>
          <w:lang w:val="en-GB"/>
        </w:rPr>
        <w:t xml:space="preserve">should happen </w:t>
      </w:r>
      <w:r>
        <w:rPr>
          <w:lang w:val="en-GB"/>
        </w:rPr>
        <w:t xml:space="preserve">in the context of NR for </w:t>
      </w:r>
      <w:proofErr w:type="spellStart"/>
      <w:r>
        <w:rPr>
          <w:lang w:val="en-GB"/>
        </w:rPr>
        <w:t>SCell</w:t>
      </w:r>
      <w:proofErr w:type="spellEnd"/>
      <w:r>
        <w:rPr>
          <w:lang w:val="en-GB"/>
        </w:rPr>
        <w:t xml:space="preserve"> power saving. As discussed in several prior contributions</w:t>
      </w:r>
      <w:r w:rsidR="00BC625F">
        <w:rPr>
          <w:lang w:val="en-GB"/>
        </w:rPr>
        <w:t xml:space="preserve"> </w:t>
      </w:r>
      <w:r w:rsidR="00BC625F">
        <w:rPr>
          <w:lang w:val="en-GB"/>
        </w:rPr>
        <w:fldChar w:fldCharType="begin"/>
      </w:r>
      <w:r w:rsidR="00BC625F">
        <w:rPr>
          <w:lang w:val="en-GB"/>
        </w:rPr>
        <w:instrText xml:space="preserve"> REF _Ref506580308 \r \h </w:instrText>
      </w:r>
      <w:r w:rsidR="00BC625F">
        <w:rPr>
          <w:lang w:val="en-GB"/>
        </w:rPr>
      </w:r>
      <w:r w:rsidR="00BC625F">
        <w:rPr>
          <w:lang w:val="en-GB"/>
        </w:rPr>
        <w:fldChar w:fldCharType="separate"/>
      </w:r>
      <w:r w:rsidR="00000F59">
        <w:rPr>
          <w:lang w:val="en-GB"/>
        </w:rPr>
        <w:t>[2]</w:t>
      </w:r>
      <w:r w:rsidR="00BC625F">
        <w:rPr>
          <w:lang w:val="en-GB"/>
        </w:rPr>
        <w:fldChar w:fldCharType="end"/>
      </w:r>
      <w:r w:rsidR="00BC625F">
        <w:rPr>
          <w:lang w:val="en-GB"/>
        </w:rPr>
        <w:fldChar w:fldCharType="begin"/>
      </w:r>
      <w:r w:rsidR="00BC625F">
        <w:rPr>
          <w:lang w:val="en-GB"/>
        </w:rPr>
        <w:instrText xml:space="preserve"> REF _Ref506580309 \r \h </w:instrText>
      </w:r>
      <w:r w:rsidR="00BC625F">
        <w:rPr>
          <w:lang w:val="en-GB"/>
        </w:rPr>
      </w:r>
      <w:r w:rsidR="00BC625F">
        <w:rPr>
          <w:lang w:val="en-GB"/>
        </w:rPr>
        <w:fldChar w:fldCharType="separate"/>
      </w:r>
      <w:r w:rsidR="00000F59">
        <w:rPr>
          <w:lang w:val="en-GB"/>
        </w:rPr>
        <w:t>[3]</w:t>
      </w:r>
      <w:r w:rsidR="00BC625F">
        <w:rPr>
          <w:lang w:val="en-GB"/>
        </w:rPr>
        <w:fldChar w:fldCharType="end"/>
      </w:r>
      <w:r>
        <w:rPr>
          <w:lang w:val="en-GB"/>
        </w:rPr>
        <w:t>, current UE power saving mechanism based on BWP adaptation is effective for single wideband carrier operation, but not very effective for multiple carriers</w:t>
      </w:r>
      <w:r w:rsidR="00BC625F">
        <w:rPr>
          <w:lang w:val="en-GB"/>
        </w:rPr>
        <w:t xml:space="preserve">. Instead, being able to put </w:t>
      </w:r>
      <w:proofErr w:type="spellStart"/>
      <w:r w:rsidR="00BC625F">
        <w:rPr>
          <w:lang w:val="en-GB"/>
        </w:rPr>
        <w:t>SCell</w:t>
      </w:r>
      <w:proofErr w:type="spellEnd"/>
      <w:r w:rsidR="00BC625F">
        <w:rPr>
          <w:lang w:val="en-GB"/>
        </w:rPr>
        <w:t xml:space="preserve"> into power saving state and bringing it back briskly </w:t>
      </w:r>
      <w:r>
        <w:rPr>
          <w:lang w:val="en-GB"/>
        </w:rPr>
        <w:t xml:space="preserve">would be more effective. </w:t>
      </w:r>
      <w:r w:rsidR="00BC625F">
        <w:rPr>
          <w:lang w:val="en-GB"/>
        </w:rPr>
        <w:t>The fact that LTE has introduced such a new feature is a testimony that the concepts earlier proposed in NR is in the right direction.</w:t>
      </w:r>
    </w:p>
    <w:p w14:paraId="55131ACC" w14:textId="09262368" w:rsidR="00213342" w:rsidRDefault="00BC625F" w:rsidP="00387D4C">
      <w:pPr>
        <w:rPr>
          <w:lang w:val="en-GB"/>
        </w:rPr>
      </w:pPr>
      <w:r>
        <w:rPr>
          <w:lang w:val="en-GB"/>
        </w:rPr>
        <w:t xml:space="preserve">It has been proposed in RAN2 </w:t>
      </w:r>
      <w:r w:rsidR="00213342">
        <w:rPr>
          <w:lang w:val="en-GB"/>
        </w:rPr>
        <w:fldChar w:fldCharType="begin"/>
      </w:r>
      <w:r w:rsidR="00213342">
        <w:rPr>
          <w:lang w:val="en-GB"/>
        </w:rPr>
        <w:instrText xml:space="preserve"> REF _Ref506580882 \r \h </w:instrText>
      </w:r>
      <w:r w:rsidR="00213342">
        <w:rPr>
          <w:lang w:val="en-GB"/>
        </w:rPr>
      </w:r>
      <w:r w:rsidR="00213342">
        <w:rPr>
          <w:lang w:val="en-GB"/>
        </w:rPr>
        <w:fldChar w:fldCharType="separate"/>
      </w:r>
      <w:r w:rsidR="00000F59">
        <w:rPr>
          <w:lang w:val="en-GB"/>
        </w:rPr>
        <w:t>[4]</w:t>
      </w:r>
      <w:r w:rsidR="00213342">
        <w:rPr>
          <w:lang w:val="en-GB"/>
        </w:rPr>
        <w:fldChar w:fldCharType="end"/>
      </w:r>
      <w:r w:rsidR="00213342">
        <w:rPr>
          <w:lang w:val="en-GB"/>
        </w:rPr>
        <w:t xml:space="preserve"> </w:t>
      </w:r>
      <w:r>
        <w:rPr>
          <w:lang w:val="en-GB"/>
        </w:rPr>
        <w:t xml:space="preserve">that the BWP framework can be leveraged to implement an analogous version of LTE new </w:t>
      </w:r>
      <w:proofErr w:type="spellStart"/>
      <w:r>
        <w:rPr>
          <w:lang w:val="en-GB"/>
        </w:rPr>
        <w:t>SCell</w:t>
      </w:r>
      <w:proofErr w:type="spellEnd"/>
      <w:r>
        <w:rPr>
          <w:lang w:val="en-GB"/>
        </w:rPr>
        <w:t xml:space="preserve"> state for NR. New </w:t>
      </w:r>
      <w:proofErr w:type="spellStart"/>
      <w:r>
        <w:rPr>
          <w:lang w:val="en-GB"/>
        </w:rPr>
        <w:t>SCell</w:t>
      </w:r>
      <w:proofErr w:type="spellEnd"/>
      <w:r>
        <w:rPr>
          <w:lang w:val="en-GB"/>
        </w:rPr>
        <w:t xml:space="preserve"> state can </w:t>
      </w:r>
      <w:r w:rsidR="00213342">
        <w:rPr>
          <w:lang w:val="en-GB"/>
        </w:rPr>
        <w:t xml:space="preserve">correspond to a designated BWP with special attributes supporting low power operation. Such BWP can be called “dormant BWP” </w:t>
      </w:r>
      <w:r w:rsidR="00213342">
        <w:t xml:space="preserve">where no uplink or downlink grant is allowed, but periodic CSI reporting can continue. </w:t>
      </w:r>
      <w:proofErr w:type="spellStart"/>
      <w:r w:rsidR="00213342">
        <w:rPr>
          <w:lang w:val="en-GB"/>
        </w:rPr>
        <w:t>Signaling</w:t>
      </w:r>
      <w:proofErr w:type="spellEnd"/>
      <w:r w:rsidR="00213342">
        <w:rPr>
          <w:lang w:val="en-GB"/>
        </w:rPr>
        <w:t xml:space="preserve"> details, including the configuration, activation and deactivation of dormant BWP, can be discussed later after the general direction and approach is agreed as the way to support </w:t>
      </w:r>
      <w:proofErr w:type="spellStart"/>
      <w:r w:rsidR="00213342">
        <w:rPr>
          <w:lang w:val="en-GB"/>
        </w:rPr>
        <w:t>SCell</w:t>
      </w:r>
      <w:proofErr w:type="spellEnd"/>
      <w:r w:rsidR="00213342">
        <w:rPr>
          <w:lang w:val="en-GB"/>
        </w:rPr>
        <w:t xml:space="preserve"> power saving in NR.</w:t>
      </w:r>
    </w:p>
    <w:p w14:paraId="069D1937" w14:textId="6194F717" w:rsidR="00F10EB6" w:rsidRDefault="00213342" w:rsidP="00387D4C">
      <w:proofErr w:type="spellStart"/>
      <w:r>
        <w:t>SCell</w:t>
      </w:r>
      <w:proofErr w:type="spellEnd"/>
      <w:r>
        <w:t xml:space="preserve"> power consumption </w:t>
      </w:r>
      <w:r w:rsidR="00894F78">
        <w:t xml:space="preserve">for the UE </w:t>
      </w:r>
      <w:r>
        <w:t xml:space="preserve">is a critical issue in NR </w:t>
      </w:r>
      <w:r w:rsidR="00F10EB6">
        <w:t xml:space="preserve">especially for </w:t>
      </w:r>
      <w:proofErr w:type="spellStart"/>
      <w:r w:rsidR="00F10EB6">
        <w:t>mmW</w:t>
      </w:r>
      <w:proofErr w:type="spellEnd"/>
      <w:r w:rsidR="00F10EB6">
        <w:t xml:space="preserve"> deployment. Peak active use case aside, power consumption level can be very high even for PDCCH monitoring scenario. Enhanced microsleep with cross-slot scheduling alleviates the issue </w:t>
      </w:r>
      <w:r w:rsidR="000B59AA">
        <w:t>to some extent</w:t>
      </w:r>
      <w:r w:rsidR="00F10EB6">
        <w:t xml:space="preserve"> but the next step is to further tackle the duty cycle aspect by being able to quickly put </w:t>
      </w:r>
      <w:proofErr w:type="spellStart"/>
      <w:r w:rsidR="00F10EB6">
        <w:t>SCell</w:t>
      </w:r>
      <w:proofErr w:type="spellEnd"/>
      <w:r w:rsidR="00F10EB6">
        <w:t xml:space="preserve"> into low power / deactivated state when it is not needed.</w:t>
      </w:r>
    </w:p>
    <w:p w14:paraId="05DB67F3" w14:textId="195AF494" w:rsidR="00F10EB6" w:rsidRPr="00213342" w:rsidRDefault="00F10EB6" w:rsidP="00F10EB6">
      <w:pPr>
        <w:pStyle w:val="Caption"/>
      </w:pPr>
      <w:bookmarkStart w:id="65" w:name="_Toc506581802"/>
      <w:bookmarkStart w:id="66" w:name="_Toc506582129"/>
      <w:bookmarkStart w:id="67" w:name="_Toc506582151"/>
      <w:bookmarkStart w:id="68" w:name="_Toc510530214"/>
      <w:bookmarkStart w:id="69" w:name="_Toc510530386"/>
      <w:bookmarkStart w:id="70" w:name="_Toc510571501"/>
      <w:bookmarkStart w:id="71" w:name="_Toc510655954"/>
      <w:bookmarkStart w:id="72" w:name="_Toc510686234"/>
      <w:bookmarkStart w:id="73" w:name="_Toc510786133"/>
      <w:bookmarkStart w:id="74" w:name="_Toc510788227"/>
      <w:bookmarkStart w:id="75" w:name="_Toc510805197"/>
      <w:bookmarkStart w:id="76" w:name="_Toc510805353"/>
      <w:bookmarkStart w:id="77" w:name="_Toc510805591"/>
      <w:bookmarkStart w:id="78" w:name="_Toc510814024"/>
      <w:bookmarkStart w:id="79" w:name="_Toc513662160"/>
      <w:bookmarkStart w:id="80" w:name="_Toc513662455"/>
      <w:bookmarkStart w:id="81" w:name="_Toc513817164"/>
      <w:bookmarkStart w:id="82" w:name="_Toc513818249"/>
      <w:bookmarkStart w:id="83" w:name="_Toc513818593"/>
      <w:bookmarkStart w:id="84" w:name="_Toc513818907"/>
      <w:bookmarkStart w:id="85" w:name="_Toc513821752"/>
      <w:bookmarkStart w:id="86" w:name="_Toc513840178"/>
      <w:r>
        <w:t xml:space="preserve">Proposal </w:t>
      </w:r>
      <w:r w:rsidR="009544FE">
        <w:fldChar w:fldCharType="begin"/>
      </w:r>
      <w:r w:rsidR="009544FE">
        <w:instrText xml:space="preserve"> SEQ Proposal \* ARABIC </w:instrText>
      </w:r>
      <w:r w:rsidR="009544FE">
        <w:fldChar w:fldCharType="separate"/>
      </w:r>
      <w:r w:rsidR="00000F59">
        <w:rPr>
          <w:noProof/>
        </w:rPr>
        <w:t>8</w:t>
      </w:r>
      <w:r w:rsidR="009544FE">
        <w:rPr>
          <w:noProof/>
        </w:rPr>
        <w:fldChar w:fldCharType="end"/>
      </w:r>
      <w:r>
        <w:t xml:space="preserve">: Resume discussion on </w:t>
      </w:r>
      <w:proofErr w:type="spellStart"/>
      <w:r>
        <w:t>SCell</w:t>
      </w:r>
      <w:proofErr w:type="spellEnd"/>
      <w:r>
        <w:t xml:space="preserve"> </w:t>
      </w:r>
      <w:r w:rsidR="001B08BE">
        <w:t xml:space="preserve">low-power / deactivated state and relation to BWP </w:t>
      </w:r>
      <w:r>
        <w:t xml:space="preserve">in RAN1 in light of recent introduction of LTE new </w:t>
      </w:r>
      <w:proofErr w:type="spellStart"/>
      <w:r>
        <w:t>SCell</w:t>
      </w:r>
      <w:proofErr w:type="spellEnd"/>
      <w:r>
        <w:t xml:space="preserve"> state for power saving, and corresponding discussions in RAN2 for NR</w:t>
      </w:r>
      <w:bookmarkEnd w:id="65"/>
      <w:r w:rsidR="001B08BE">
        <w:t xml:space="preserve"> and RAN4 update on </w:t>
      </w:r>
      <w:proofErr w:type="spellStart"/>
      <w:r w:rsidR="001B08BE">
        <w:t>SCell</w:t>
      </w:r>
      <w:proofErr w:type="spellEnd"/>
      <w:r w:rsidR="001B08BE">
        <w:t xml:space="preserve"> activation /deactivation timeline for NR.</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4B3AEF99" w14:textId="77777777" w:rsidR="00387D4C" w:rsidRPr="00387D4C" w:rsidRDefault="00387D4C" w:rsidP="00387D4C">
      <w:pPr>
        <w:rPr>
          <w:lang w:val="en-GB"/>
        </w:rPr>
      </w:pPr>
    </w:p>
    <w:p w14:paraId="16CFBAF1" w14:textId="64614D05" w:rsidR="00E4038C" w:rsidRDefault="00E4038C" w:rsidP="00387D4C">
      <w:pPr>
        <w:pStyle w:val="Heading1"/>
        <w:rPr>
          <w:lang w:eastAsia="zh-CN"/>
        </w:rPr>
      </w:pPr>
      <w:r w:rsidRPr="00C227E3">
        <w:t>Conclusion</w:t>
      </w:r>
    </w:p>
    <w:p w14:paraId="4A7CCD54" w14:textId="5D224A3A" w:rsidR="00AF5673" w:rsidRDefault="00A96F9C" w:rsidP="00AF5673">
      <w:pPr>
        <w:spacing w:after="120"/>
      </w:pPr>
      <w:r>
        <w:t xml:space="preserve">This contribution has presented issues </w:t>
      </w:r>
      <w:r w:rsidR="00832CA7">
        <w:t>in</w:t>
      </w:r>
      <w:r>
        <w:t xml:space="preserve"> </w:t>
      </w:r>
      <w:r w:rsidR="00C01983">
        <w:t xml:space="preserve">HARQ-ACK, CA with mixed numerology, and </w:t>
      </w:r>
      <w:proofErr w:type="spellStart"/>
      <w:r w:rsidR="00C01983">
        <w:t>SCell</w:t>
      </w:r>
      <w:proofErr w:type="spellEnd"/>
      <w:r w:rsidR="00C01983">
        <w:t xml:space="preserve"> power saving</w:t>
      </w:r>
      <w:r>
        <w:t xml:space="preserve">. </w:t>
      </w:r>
      <w:r w:rsidR="007B645F">
        <w:t>The following</w:t>
      </w:r>
      <w:r w:rsidR="00EC3500">
        <w:t xml:space="preserve"> observation and </w:t>
      </w:r>
      <w:r w:rsidR="007B645F">
        <w:t>proposals have been made:</w:t>
      </w:r>
    </w:p>
    <w:p w14:paraId="07866A71" w14:textId="77777777" w:rsidR="00E909D9" w:rsidRDefault="00E909D9" w:rsidP="00AF5673">
      <w:pPr>
        <w:spacing w:after="120"/>
      </w:pPr>
    </w:p>
    <w:p w14:paraId="2474AD36" w14:textId="627BCBB1" w:rsidR="00000F59" w:rsidRDefault="00E909D9">
      <w:pPr>
        <w:pStyle w:val="TableofFigures"/>
        <w:tabs>
          <w:tab w:val="right" w:leader="dot" w:pos="9628"/>
        </w:tabs>
        <w:rPr>
          <w:rFonts w:asciiTheme="minorHAnsi" w:eastAsiaTheme="minorEastAsia" w:hAnsiTheme="minorHAnsi" w:cstheme="minorBidi"/>
          <w:noProof/>
          <w:sz w:val="22"/>
          <w:szCs w:val="22"/>
        </w:rPr>
      </w:pPr>
      <w:r>
        <w:fldChar w:fldCharType="begin"/>
      </w:r>
      <w:r>
        <w:instrText xml:space="preserve"> TOC \n \h \z \c "Observation" </w:instrText>
      </w:r>
      <w:r>
        <w:fldChar w:fldCharType="separate"/>
      </w:r>
      <w:hyperlink w:anchor="_Toc513840170" w:history="1">
        <w:r w:rsidR="00000F59" w:rsidRPr="00A96DCF">
          <w:rPr>
            <w:rStyle w:val="Hyperlink"/>
            <w:noProof/>
          </w:rPr>
          <w:t>Observation 1: Specification for cross-carrier scheduling with CIF for mixed numerology CA depends on the resolution of other issues (such as those related to cross-carrier scheduling with same numerology and self-carrier scheduling with mixed numerology CA).</w:t>
        </w:r>
      </w:hyperlink>
    </w:p>
    <w:p w14:paraId="54B12378" w14:textId="77777777" w:rsidR="00000F59" w:rsidRDefault="00E909D9">
      <w:pPr>
        <w:pStyle w:val="TableofFigures"/>
        <w:tabs>
          <w:tab w:val="right" w:leader="dot" w:pos="9628"/>
        </w:tabs>
        <w:rPr>
          <w:noProof/>
        </w:rPr>
      </w:pPr>
      <w:r>
        <w:fldChar w:fldCharType="end"/>
      </w:r>
      <w:r w:rsidR="00331915">
        <w:fldChar w:fldCharType="begin"/>
      </w:r>
      <w:r w:rsidR="00331915">
        <w:instrText xml:space="preserve"> TOC \n \c "Proposal" </w:instrText>
      </w:r>
      <w:r w:rsidR="00331915">
        <w:fldChar w:fldCharType="separate"/>
      </w:r>
    </w:p>
    <w:p w14:paraId="2AAA86AA" w14:textId="77777777" w:rsidR="00000F59" w:rsidRPr="00000F59" w:rsidRDefault="00000F59">
      <w:pPr>
        <w:pStyle w:val="TableofFigures"/>
        <w:tabs>
          <w:tab w:val="right" w:leader="dot" w:pos="9628"/>
        </w:tabs>
        <w:rPr>
          <w:rFonts w:asciiTheme="minorHAnsi" w:eastAsiaTheme="minorEastAsia" w:hAnsiTheme="minorHAnsi" w:cstheme="minorBidi"/>
          <w:b/>
          <w:noProof/>
          <w:sz w:val="22"/>
          <w:szCs w:val="22"/>
        </w:rPr>
      </w:pPr>
      <w:r w:rsidRPr="00000F59">
        <w:rPr>
          <w:b/>
          <w:noProof/>
        </w:rPr>
        <w:t>Proposal 1: Support for cross-carrier scheduling with CIF for mixed numerology CA in Rel-15 can be considered only if restrictions are put in place to keep complexity and specification effort manageable</w:t>
      </w:r>
    </w:p>
    <w:p w14:paraId="6AFCF9F4" w14:textId="77777777" w:rsidR="00000F59" w:rsidRPr="00000F59" w:rsidRDefault="00000F59">
      <w:pPr>
        <w:pStyle w:val="TableofFigures"/>
        <w:tabs>
          <w:tab w:val="right" w:leader="dot" w:pos="9628"/>
        </w:tabs>
        <w:rPr>
          <w:rFonts w:asciiTheme="minorHAnsi" w:eastAsiaTheme="minorEastAsia" w:hAnsiTheme="minorHAnsi" w:cstheme="minorBidi"/>
          <w:b/>
          <w:noProof/>
          <w:sz w:val="22"/>
          <w:szCs w:val="22"/>
        </w:rPr>
      </w:pPr>
      <w:r w:rsidRPr="00000F59">
        <w:rPr>
          <w:b/>
          <w:noProof/>
        </w:rPr>
        <w:t>Proposal 2: The clarifications for cross-carrier scheduling in R1-1805719 “Offline summary on CA aspects” should be endorsed with some further clarifications.</w:t>
      </w:r>
    </w:p>
    <w:p w14:paraId="060DE973" w14:textId="77777777" w:rsidR="00000F59" w:rsidRDefault="00000F59">
      <w:pPr>
        <w:pStyle w:val="TableofFigures"/>
        <w:tabs>
          <w:tab w:val="right" w:leader="dot" w:pos="9628"/>
        </w:tabs>
        <w:rPr>
          <w:rFonts w:asciiTheme="minorHAnsi" w:eastAsiaTheme="minorEastAsia" w:hAnsiTheme="minorHAnsi" w:cstheme="minorBidi"/>
          <w:noProof/>
          <w:sz w:val="22"/>
          <w:szCs w:val="22"/>
        </w:rPr>
      </w:pPr>
      <w:r>
        <w:rPr>
          <w:noProof/>
        </w:rPr>
        <w:t>Proposal 3: A separate DCI per grant is supported for cross carrier scheduling with mixed numerology CA in Rel-15.</w:t>
      </w:r>
    </w:p>
    <w:p w14:paraId="5EC19227" w14:textId="77777777" w:rsidR="00000F59" w:rsidRDefault="00000F59">
      <w:pPr>
        <w:pStyle w:val="TableofFigures"/>
        <w:tabs>
          <w:tab w:val="right" w:leader="dot" w:pos="9628"/>
        </w:tabs>
        <w:rPr>
          <w:rFonts w:asciiTheme="minorHAnsi" w:eastAsiaTheme="minorEastAsia" w:hAnsiTheme="minorHAnsi" w:cstheme="minorBidi"/>
          <w:noProof/>
          <w:sz w:val="22"/>
          <w:szCs w:val="22"/>
        </w:rPr>
      </w:pPr>
      <w:r>
        <w:rPr>
          <w:noProof/>
        </w:rPr>
        <w:t>Proposal 4: For cross carrier scheduling with mixed numerology CA, a single DCI is used to schedule the transmission of the same TB across multiple slots in slot-aggregation. The K1 timing starts from the end of the last transmission in the aggregated transmissions.</w:t>
      </w:r>
    </w:p>
    <w:p w14:paraId="4310D6E8" w14:textId="77777777" w:rsidR="00000F59" w:rsidRDefault="00000F59">
      <w:pPr>
        <w:pStyle w:val="TableofFigures"/>
        <w:tabs>
          <w:tab w:val="right" w:leader="dot" w:pos="9628"/>
        </w:tabs>
        <w:rPr>
          <w:rFonts w:asciiTheme="minorHAnsi" w:eastAsiaTheme="minorEastAsia" w:hAnsiTheme="minorHAnsi" w:cstheme="minorBidi"/>
          <w:noProof/>
          <w:sz w:val="22"/>
          <w:szCs w:val="22"/>
        </w:rPr>
      </w:pPr>
      <w:r>
        <w:rPr>
          <w:noProof/>
        </w:rPr>
        <w:t>Proposal 5: Frequency-first, time-second DAI counter accumulation order is preferred for dynamic HARQ-ACK codebook.</w:t>
      </w:r>
    </w:p>
    <w:p w14:paraId="78115BF8" w14:textId="77777777" w:rsidR="00000F59" w:rsidRPr="00000F59" w:rsidRDefault="00000F59">
      <w:pPr>
        <w:pStyle w:val="TableofFigures"/>
        <w:tabs>
          <w:tab w:val="right" w:leader="dot" w:pos="9628"/>
        </w:tabs>
        <w:rPr>
          <w:rFonts w:asciiTheme="minorHAnsi" w:eastAsiaTheme="minorEastAsia" w:hAnsiTheme="minorHAnsi" w:cstheme="minorBidi"/>
          <w:b/>
          <w:noProof/>
          <w:sz w:val="22"/>
          <w:szCs w:val="22"/>
        </w:rPr>
      </w:pPr>
      <w:r w:rsidRPr="00000F59">
        <w:rPr>
          <w:b/>
          <w:noProof/>
        </w:rPr>
        <w:lastRenderedPageBreak/>
        <w:t>Proposal 6: When a UE is configured with semi-static HARQ-ACK codebook, for a particular PDSCH candidate that belongs to multiple DL association sets, HARQ-ACK reporting should be done as follows: (a)  For a PUCCH that corresponds to a smaller k1 than the indicated k1 in the DL assignment, report NACK in the PUCCH, (b) For a PUCCH that corresponds to the same or larger k1 with respect to the indicated k1 in the DL assignment, report valid HARQ-ACK in the PUCCH.</w:t>
      </w:r>
    </w:p>
    <w:p w14:paraId="4D022331" w14:textId="77777777" w:rsidR="00000F59" w:rsidRDefault="00000F59">
      <w:pPr>
        <w:pStyle w:val="TableofFigures"/>
        <w:tabs>
          <w:tab w:val="right" w:leader="dot" w:pos="9628"/>
        </w:tabs>
        <w:rPr>
          <w:rFonts w:asciiTheme="minorHAnsi" w:eastAsiaTheme="minorEastAsia" w:hAnsiTheme="minorHAnsi" w:cstheme="minorBidi"/>
          <w:noProof/>
          <w:sz w:val="22"/>
          <w:szCs w:val="22"/>
        </w:rPr>
      </w:pPr>
      <w:r>
        <w:rPr>
          <w:noProof/>
        </w:rPr>
        <w:t>Proposal 7:</w:t>
      </w:r>
      <w:r>
        <w:rPr>
          <w:noProof/>
          <w:lang w:eastAsia="x-none"/>
        </w:rPr>
        <w:t xml:space="preserve"> When dynamic HARQ-ACK codebook is configured for a UE, and the UE received CBG-based transmission, then UE always pads two TB-based NACKs in the feedback.</w:t>
      </w:r>
    </w:p>
    <w:p w14:paraId="660CF06E" w14:textId="77777777" w:rsidR="00000F59" w:rsidRDefault="00000F59">
      <w:pPr>
        <w:pStyle w:val="TableofFigures"/>
        <w:tabs>
          <w:tab w:val="right" w:leader="dot" w:pos="9628"/>
        </w:tabs>
        <w:rPr>
          <w:rFonts w:asciiTheme="minorHAnsi" w:eastAsiaTheme="minorEastAsia" w:hAnsiTheme="minorHAnsi" w:cstheme="minorBidi"/>
          <w:noProof/>
          <w:sz w:val="22"/>
          <w:szCs w:val="22"/>
        </w:rPr>
      </w:pPr>
      <w:r>
        <w:rPr>
          <w:noProof/>
        </w:rPr>
        <w:t>Proposal 8: Resume discussion on SCell low-power / deactivated state and relation to BWP in RAN1 in light of recent introduction of LTE new SCell state for power saving, and corresponding discussions in RAN2 for NR and RAN4 update on SCell activation /deactivation timeline for NR.</w:t>
      </w:r>
    </w:p>
    <w:p w14:paraId="5BDA1C8B" w14:textId="10D9DF4C" w:rsidR="00854A0C" w:rsidRDefault="00331915" w:rsidP="00FA680F">
      <w:pPr>
        <w:pStyle w:val="Caption"/>
        <w:ind w:left="720"/>
      </w:pPr>
      <w:r>
        <w:fldChar w:fldCharType="end"/>
      </w:r>
    </w:p>
    <w:p w14:paraId="100E5DD8" w14:textId="372C8C66" w:rsidR="00387D4C" w:rsidRDefault="00387D4C" w:rsidP="00387D4C">
      <w:pPr>
        <w:pStyle w:val="Heading1"/>
      </w:pPr>
      <w:r>
        <w:t>References</w:t>
      </w:r>
    </w:p>
    <w:p w14:paraId="03C094DE" w14:textId="4084A2A5" w:rsidR="00387D4C" w:rsidRDefault="00387D4C" w:rsidP="00C359AA">
      <w:pPr>
        <w:numPr>
          <w:ilvl w:val="0"/>
          <w:numId w:val="10"/>
        </w:numPr>
        <w:textAlignment w:val="auto"/>
      </w:pPr>
      <w:r>
        <w:t>R2-1714289, “</w:t>
      </w:r>
      <w:r>
        <w:rPr>
          <w:noProof/>
        </w:rPr>
        <w:t>Running CR for euCA Stage-2”</w:t>
      </w:r>
    </w:p>
    <w:p w14:paraId="3B605EDF" w14:textId="3A7311C2" w:rsidR="00BC625F" w:rsidRDefault="00BC625F" w:rsidP="00C359AA">
      <w:pPr>
        <w:numPr>
          <w:ilvl w:val="0"/>
          <w:numId w:val="10"/>
        </w:numPr>
        <w:textAlignment w:val="auto"/>
      </w:pPr>
      <w:bookmarkStart w:id="87" w:name="_Ref506580308"/>
      <w:r>
        <w:t>R1-1720694, “Open Issues on CA”, RAN1 #91, Qualcomm.</w:t>
      </w:r>
      <w:bookmarkEnd w:id="87"/>
    </w:p>
    <w:p w14:paraId="6B7D1591" w14:textId="354FD30F" w:rsidR="00BC625F" w:rsidRDefault="00BC625F" w:rsidP="00C359AA">
      <w:pPr>
        <w:numPr>
          <w:ilvl w:val="0"/>
          <w:numId w:val="10"/>
        </w:numPr>
        <w:textAlignment w:val="auto"/>
      </w:pPr>
      <w:bookmarkStart w:id="88" w:name="_Ref506580309"/>
      <w:r>
        <w:t>R1-1800552, “On remaining aspects of BWPs”, RAN1 NR AH1801, Nokia</w:t>
      </w:r>
      <w:bookmarkEnd w:id="88"/>
    </w:p>
    <w:p w14:paraId="5260B5A6" w14:textId="53517F29" w:rsidR="00BC625F" w:rsidRDefault="00213342" w:rsidP="00C359AA">
      <w:pPr>
        <w:numPr>
          <w:ilvl w:val="0"/>
          <w:numId w:val="10"/>
        </w:numPr>
        <w:textAlignment w:val="auto"/>
      </w:pPr>
      <w:bookmarkStart w:id="89" w:name="_Ref506580882"/>
      <w:r>
        <w:t>R2-180</w:t>
      </w:r>
      <w:r w:rsidR="00E74776">
        <w:t>8570</w:t>
      </w:r>
      <w:r>
        <w:t xml:space="preserve">, “Dormant BWP for fast </w:t>
      </w:r>
      <w:proofErr w:type="spellStart"/>
      <w:r>
        <w:t>SCell</w:t>
      </w:r>
      <w:proofErr w:type="spellEnd"/>
      <w:r>
        <w:t xml:space="preserve"> activation”, RAN2 </w:t>
      </w:r>
      <w:r w:rsidR="00E74776">
        <w:t>#102 (Busan)</w:t>
      </w:r>
      <w:r>
        <w:t>, Qualcomm</w:t>
      </w:r>
      <w:bookmarkEnd w:id="89"/>
    </w:p>
    <w:p w14:paraId="71977EC5" w14:textId="7E0EC99A" w:rsidR="00E909D9" w:rsidRDefault="00E909D9" w:rsidP="00C359AA">
      <w:pPr>
        <w:numPr>
          <w:ilvl w:val="0"/>
          <w:numId w:val="10"/>
        </w:numPr>
        <w:textAlignment w:val="auto"/>
      </w:pPr>
      <w:bookmarkStart w:id="90" w:name="_Ref513818612"/>
      <w:r>
        <w:t>R1-1804810, “Remaining Issues on CA”, RAN1 #92bis, Qualcomm</w:t>
      </w:r>
      <w:bookmarkEnd w:id="90"/>
    </w:p>
    <w:p w14:paraId="1E7AB0B2" w14:textId="096D8316" w:rsidR="005570AE" w:rsidRDefault="005570AE" w:rsidP="00C359AA">
      <w:pPr>
        <w:numPr>
          <w:ilvl w:val="0"/>
          <w:numId w:val="10"/>
        </w:numPr>
        <w:textAlignment w:val="auto"/>
      </w:pPr>
      <w:bookmarkStart w:id="91" w:name="_Ref513817382"/>
      <w:r>
        <w:t>R1-1805719, “Offline summary on CA aspects”, RAN1 #92bis, Samsung</w:t>
      </w:r>
      <w:bookmarkEnd w:id="91"/>
    </w:p>
    <w:p w14:paraId="494A8CA7" w14:textId="017B6871" w:rsidR="000A1FC0" w:rsidRDefault="000A1FC0" w:rsidP="000A1FC0">
      <w:pPr>
        <w:numPr>
          <w:ilvl w:val="0"/>
          <w:numId w:val="10"/>
        </w:numPr>
        <w:textAlignment w:val="auto"/>
      </w:pPr>
      <w:bookmarkStart w:id="92" w:name="_Ref513827037"/>
      <w:r w:rsidRPr="000A1FC0">
        <w:t>R1-1805200</w:t>
      </w:r>
      <w:r>
        <w:t>,</w:t>
      </w:r>
      <w:r w:rsidRPr="000A1FC0">
        <w:t xml:space="preserve"> </w:t>
      </w:r>
      <w:r>
        <w:t>“</w:t>
      </w:r>
      <w:r w:rsidRPr="000A1FC0">
        <w:t>On remaining issues of carrier aggregation</w:t>
      </w:r>
      <w:r>
        <w:t>”, RAN1 #92bis,</w:t>
      </w:r>
      <w:r w:rsidRPr="000A1FC0">
        <w:t xml:space="preserve"> Ericsson</w:t>
      </w:r>
      <w:bookmarkEnd w:id="92"/>
    </w:p>
    <w:p w14:paraId="43130483" w14:textId="77E99F19" w:rsidR="00387D4C" w:rsidRDefault="00387D4C" w:rsidP="00387D4C">
      <w:pPr>
        <w:rPr>
          <w:lang w:val="en-GB"/>
        </w:rPr>
      </w:pPr>
    </w:p>
    <w:p w14:paraId="588983DB" w14:textId="45B518D8" w:rsidR="00A152F1" w:rsidRDefault="00A152F1" w:rsidP="00A152F1">
      <w:pPr>
        <w:pStyle w:val="Heading1"/>
      </w:pPr>
      <w:r>
        <w:t>Text Proposal</w:t>
      </w:r>
    </w:p>
    <w:p w14:paraId="4E479B85" w14:textId="598DC4BD" w:rsidR="00F56F50" w:rsidRDefault="00F56F50" w:rsidP="00A152F1">
      <w:pPr>
        <w:rPr>
          <w:b/>
          <w:lang w:val="en-GB"/>
        </w:rPr>
      </w:pPr>
      <w:r w:rsidRPr="00124273">
        <w:rPr>
          <w:color w:val="FF0000"/>
          <w:lang w:val="en-GB"/>
        </w:rPr>
        <w:t>---- Text Proposal</w:t>
      </w:r>
      <w:r>
        <w:rPr>
          <w:color w:val="FF0000"/>
          <w:lang w:val="en-GB"/>
        </w:rPr>
        <w:t xml:space="preserve"> for 38.21</w:t>
      </w:r>
      <w:r w:rsidR="003A30FC">
        <w:rPr>
          <w:color w:val="FF0000"/>
          <w:lang w:val="en-GB"/>
        </w:rPr>
        <w:t>3</w:t>
      </w:r>
      <w:r w:rsidRPr="00124273">
        <w:rPr>
          <w:color w:val="FF0000"/>
          <w:lang w:val="en-GB"/>
        </w:rPr>
        <w:t xml:space="preserve"> ----</w:t>
      </w:r>
    </w:p>
    <w:p w14:paraId="709DD2EF" w14:textId="563936C8" w:rsidR="00A152F1" w:rsidRDefault="00A152F1" w:rsidP="00A152F1">
      <w:pPr>
        <w:pStyle w:val="Heading4"/>
        <w:numPr>
          <w:ilvl w:val="0"/>
          <w:numId w:val="0"/>
        </w:numPr>
        <w:tabs>
          <w:tab w:val="left" w:pos="720"/>
        </w:tabs>
        <w:ind w:left="864" w:hanging="864"/>
        <w:rPr>
          <w:rFonts w:eastAsia="MS Mincho"/>
        </w:rPr>
      </w:pPr>
      <w:bookmarkStart w:id="93" w:name="_Toc508784694"/>
      <w:bookmarkStart w:id="94" w:name="_Ref505248562"/>
      <w:r>
        <w:rPr>
          <w:rFonts w:eastAsia="MS Mincho"/>
        </w:rPr>
        <w:t>9.1.2.1</w:t>
      </w:r>
      <w:r>
        <w:rPr>
          <w:rFonts w:eastAsia="MS Mincho"/>
        </w:rPr>
        <w:tab/>
        <w:t>Type-1 HARQ-ACK codebook in physical uplink control channel</w:t>
      </w:r>
      <w:bookmarkEnd w:id="93"/>
      <w:bookmarkEnd w:id="94"/>
    </w:p>
    <w:p w14:paraId="71B20CF0" w14:textId="77777777" w:rsidR="00A152F1" w:rsidRDefault="00A152F1" w:rsidP="00A152F1">
      <w:pPr>
        <w:spacing w:after="0"/>
        <w:jc w:val="both"/>
        <w:rPr>
          <w:lang w:val="en-GB" w:eastAsia="zh-CN"/>
        </w:rPr>
      </w:pPr>
      <w:r>
        <w:rPr>
          <w:lang w:val="en-GB" w:eastAsia="zh-CN"/>
        </w:rPr>
        <w:t>….</w:t>
      </w:r>
    </w:p>
    <w:p w14:paraId="56A7459A" w14:textId="7C644F7B" w:rsidR="00A152F1" w:rsidRDefault="00A152F1" w:rsidP="00A152F1">
      <w:pPr>
        <w:rPr>
          <w:lang w:eastAsia="zh-CN"/>
        </w:rPr>
      </w:pPr>
      <w:r>
        <w:rPr>
          <w:lang w:eastAsia="zh-CN"/>
        </w:rPr>
        <w:t>A</w:t>
      </w:r>
      <w:r>
        <w:rPr>
          <w:rFonts w:cs="Arial"/>
          <w:lang w:eastAsia="zh-CN"/>
        </w:rPr>
        <w:t xml:space="preserve"> UE determine</w:t>
      </w:r>
      <w:r w:rsidR="003A30FC">
        <w:rPr>
          <w:rFonts w:cs="Arial"/>
          <w:lang w:eastAsia="zh-CN"/>
        </w:rPr>
        <w:t>s</w:t>
      </w:r>
      <w:r>
        <w:rPr>
          <w:rFonts w:cs="Arial"/>
          <w:lang w:eastAsia="zh-CN"/>
        </w:rPr>
        <w:t xml:space="preserve"> </w:t>
      </w:r>
      <w:r>
        <w:rPr>
          <w:rFonts w:eastAsia="MS Mincho"/>
          <w:position w:val="-14"/>
        </w:rPr>
        <w:object w:dxaOrig="1776" w:dyaOrig="384" w14:anchorId="0E13B5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21.75pt" o:ole="">
            <v:imagedata r:id="rId13" o:title=""/>
          </v:shape>
          <o:OLEObject Type="Embed" ProgID="Equation.3" ShapeID="_x0000_i1025" DrawAspect="Content" ObjectID="_1587584527" r:id="rId14"/>
        </w:object>
      </w:r>
      <w:r>
        <w:rPr>
          <w:lang w:eastAsia="zh-CN"/>
        </w:rPr>
        <w:t xml:space="preserve"> HARQ-ACK information bits, for a total number of </w:t>
      </w:r>
      <w:r>
        <w:rPr>
          <w:rFonts w:eastAsia="MS Mincho"/>
          <w:position w:val="-10"/>
        </w:rPr>
        <w:object w:dxaOrig="480" w:dyaOrig="300" w14:anchorId="251F17B4">
          <v:shape id="_x0000_i1026" type="#_x0000_t75" style="width:21.75pt;height:14.25pt" o:ole="">
            <v:imagedata r:id="rId15" o:title=""/>
          </v:shape>
          <o:OLEObject Type="Embed" ProgID="Equation.3" ShapeID="_x0000_i1026" DrawAspect="Content" ObjectID="_1587584528" r:id="rId16"/>
        </w:object>
      </w:r>
      <w:r>
        <w:t xml:space="preserve"> </w:t>
      </w:r>
      <w:r>
        <w:rPr>
          <w:lang w:eastAsia="zh-CN"/>
        </w:rPr>
        <w:t xml:space="preserve">HARQ-ACK information bits, of a HARQ-ACK codebook for transmission in a PUCCH according to the following pseudo-code. </w:t>
      </w:r>
      <w:r>
        <w:t xml:space="preserve">In the following pseudo-code, if the UE does not receive a transport block or a CBG, due to the UE not detecting a corresponding PDCCH with </w:t>
      </w:r>
      <w:r>
        <w:rPr>
          <w:lang w:eastAsia="zh-CN"/>
        </w:rPr>
        <w:t>DCI format 1_0 or DCI format 1_1</w:t>
      </w:r>
      <w:r>
        <w:t xml:space="preserve">, the UE generates a NACK value for the transport block or the CBG. </w:t>
      </w:r>
      <w:r w:rsidRPr="00A152F1">
        <w:rPr>
          <w:color w:val="FF0000"/>
        </w:rPr>
        <w:t>In the following pseudo-code, if the UE receive</w:t>
      </w:r>
      <w:r w:rsidRPr="00A152F1">
        <w:rPr>
          <w:color w:val="FF0000"/>
          <w:lang w:eastAsia="zh-CN"/>
        </w:rPr>
        <w:t>s</w:t>
      </w:r>
      <w:r w:rsidRPr="00A152F1">
        <w:rPr>
          <w:color w:val="FF0000"/>
        </w:rPr>
        <w:t xml:space="preserve"> a transport block or a CBG</w:t>
      </w:r>
      <w:r w:rsidRPr="00A152F1">
        <w:rPr>
          <w:color w:val="FF0000"/>
          <w:lang w:eastAsia="zh-CN"/>
        </w:rPr>
        <w:t xml:space="preserve"> for which the UE transmits HARQ-ACK in a</w:t>
      </w:r>
      <w:r w:rsidR="005E5130">
        <w:rPr>
          <w:color w:val="FF0000"/>
          <w:lang w:eastAsia="zh-CN"/>
        </w:rPr>
        <w:t xml:space="preserve">n earlier </w:t>
      </w:r>
      <w:r w:rsidRPr="00A152F1">
        <w:rPr>
          <w:color w:val="FF0000"/>
          <w:lang w:eastAsia="zh-CN"/>
        </w:rPr>
        <w:t xml:space="preserve">PUCCH </w:t>
      </w:r>
      <w:r w:rsidR="005E5130">
        <w:rPr>
          <w:color w:val="FF0000"/>
          <w:lang w:eastAsia="zh-CN"/>
        </w:rPr>
        <w:t>based on</w:t>
      </w:r>
      <w:r>
        <w:rPr>
          <w:color w:val="FF0000"/>
          <w:lang w:eastAsia="zh-CN"/>
        </w:rPr>
        <w:t xml:space="preserve"> </w:t>
      </w:r>
      <w:r w:rsidR="005E5130">
        <w:rPr>
          <w:color w:val="FF0000"/>
          <w:lang w:eastAsia="zh-CN"/>
        </w:rPr>
        <w:t>the</w:t>
      </w:r>
      <w:r w:rsidRPr="00A152F1">
        <w:rPr>
          <w:color w:val="FF0000"/>
          <w:lang w:eastAsia="zh-CN"/>
        </w:rPr>
        <w:t xml:space="preserve"> PDSCH-to-HARQ feedback timing value</w:t>
      </w:r>
      <w:r w:rsidRPr="00A152F1">
        <w:rPr>
          <w:color w:val="FF0000"/>
        </w:rPr>
        <w:t>, the UE generates a NACK value for the transport block or the CBG.</w:t>
      </w:r>
      <w:r w:rsidRPr="00A152F1">
        <w:rPr>
          <w:color w:val="FF0000"/>
          <w:lang w:eastAsia="zh-CN"/>
        </w:rPr>
        <w:t xml:space="preserve"> </w:t>
      </w:r>
      <w:r>
        <w:rPr>
          <w:lang w:eastAsia="zh-CN"/>
        </w:rPr>
        <w:t xml:space="preserve">The cardinality of the set </w:t>
      </w:r>
      <w:r>
        <w:rPr>
          <w:rFonts w:eastAsia="MS Mincho" w:cs="Arial"/>
          <w:position w:val="-12"/>
          <w:lang w:eastAsia="zh-CN"/>
        </w:rPr>
        <w:object w:dxaOrig="456" w:dyaOrig="324" w14:anchorId="34DD07DE">
          <v:shape id="_x0000_i1027" type="#_x0000_t75" style="width:21.75pt;height:14.25pt" o:ole="">
            <v:imagedata r:id="rId17" o:title=""/>
          </v:shape>
          <o:OLEObject Type="Embed" ProgID="Equation.3" ShapeID="_x0000_i1027" DrawAspect="Content" ObjectID="_1587584529" r:id="rId18"/>
        </w:object>
      </w:r>
      <w:r>
        <w:rPr>
          <w:lang w:eastAsia="zh-CN"/>
        </w:rPr>
        <w:t xml:space="preserve"> defines a total number </w:t>
      </w:r>
      <w:r>
        <w:rPr>
          <w:rFonts w:eastAsia="MS Mincho"/>
          <w:position w:val="-10"/>
        </w:rPr>
        <w:object w:dxaOrig="324" w:dyaOrig="300" w14:anchorId="1E83A153">
          <v:shape id="_x0000_i1028" type="#_x0000_t75" style="width:14.25pt;height:14.25pt" o:ole="">
            <v:imagedata r:id="rId19" o:title=""/>
          </v:shape>
          <o:OLEObject Type="Embed" ProgID="Equation.3" ShapeID="_x0000_i1028" DrawAspect="Content" ObjectID="_1587584530" r:id="rId20"/>
        </w:object>
      </w:r>
      <w:r>
        <w:rPr>
          <w:lang w:eastAsia="zh-CN"/>
        </w:rPr>
        <w:t xml:space="preserve"> of occasions for PDSCH reception or SPS PDSCH release for serving cell </w:t>
      </w:r>
      <w:r>
        <w:rPr>
          <w:rFonts w:eastAsia="MS Mincho"/>
          <w:position w:val="-6"/>
        </w:rPr>
        <w:object w:dxaOrig="156" w:dyaOrig="204" w14:anchorId="3AD0A02E">
          <v:shape id="_x0000_i1029" type="#_x0000_t75" style="width:7.45pt;height:7.45pt" o:ole="">
            <v:imagedata r:id="rId21" o:title=""/>
          </v:shape>
          <o:OLEObject Type="Embed" ProgID="Equation.3" ShapeID="_x0000_i1029" DrawAspect="Content" ObjectID="_1587584531" r:id="rId22"/>
        </w:object>
      </w:r>
      <w:r>
        <w:rPr>
          <w:lang w:eastAsia="zh-CN"/>
        </w:rPr>
        <w:t>.</w:t>
      </w:r>
    </w:p>
    <w:p w14:paraId="5E4CC669" w14:textId="1B166D62" w:rsidR="00A152F1" w:rsidRDefault="00F56F50" w:rsidP="00A152F1">
      <w:pPr>
        <w:rPr>
          <w:rFonts w:eastAsia="MS Mincho"/>
          <w:lang w:eastAsia="zh-CN"/>
        </w:rPr>
      </w:pPr>
      <w:r w:rsidRPr="00124273">
        <w:rPr>
          <w:color w:val="FF0000"/>
          <w:lang w:val="en-GB"/>
        </w:rPr>
        <w:t xml:space="preserve">---- </w:t>
      </w:r>
      <w:r>
        <w:rPr>
          <w:color w:val="FF0000"/>
          <w:lang w:val="en-GB"/>
        </w:rPr>
        <w:t xml:space="preserve">End of </w:t>
      </w:r>
      <w:r w:rsidRPr="00124273">
        <w:rPr>
          <w:color w:val="FF0000"/>
          <w:lang w:val="en-GB"/>
        </w:rPr>
        <w:t>Text Proposal ----</w:t>
      </w:r>
    </w:p>
    <w:p w14:paraId="0614924F" w14:textId="77777777" w:rsidR="00A152F1" w:rsidRPr="00A152F1" w:rsidRDefault="00A152F1" w:rsidP="00A152F1">
      <w:pPr>
        <w:rPr>
          <w:lang w:val="en-GB"/>
        </w:rPr>
      </w:pPr>
    </w:p>
    <w:sectPr w:rsidR="00A152F1" w:rsidRPr="00A152F1" w:rsidSect="008331BB">
      <w:headerReference w:type="even" r:id="rId23"/>
      <w:footerReference w:type="even" r:id="rId24"/>
      <w:footerReference w:type="default" r:id="rId25"/>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B4298C" w14:textId="77777777" w:rsidR="009544FE" w:rsidRDefault="009544FE">
      <w:r>
        <w:separator/>
      </w:r>
    </w:p>
  </w:endnote>
  <w:endnote w:type="continuationSeparator" w:id="0">
    <w:p w14:paraId="3B16570F" w14:textId="77777777" w:rsidR="009544FE" w:rsidRDefault="009544FE">
      <w:r>
        <w:continuationSeparator/>
      </w:r>
    </w:p>
  </w:endnote>
  <w:endnote w:type="continuationNotice" w:id="1">
    <w:p w14:paraId="757775F0" w14:textId="77777777" w:rsidR="009544FE" w:rsidRDefault="009544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E6666C" w:rsidRDefault="00E6666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E6666C" w:rsidRDefault="00E6666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27061442" w:rsidR="00E6666C" w:rsidRDefault="00E6666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7CEA1" w14:textId="77777777" w:rsidR="009544FE" w:rsidRDefault="009544FE">
      <w:r>
        <w:separator/>
      </w:r>
    </w:p>
  </w:footnote>
  <w:footnote w:type="continuationSeparator" w:id="0">
    <w:p w14:paraId="360D46E0" w14:textId="77777777" w:rsidR="009544FE" w:rsidRDefault="009544FE">
      <w:r>
        <w:continuationSeparator/>
      </w:r>
    </w:p>
  </w:footnote>
  <w:footnote w:type="continuationNotice" w:id="1">
    <w:p w14:paraId="5497D40B" w14:textId="77777777" w:rsidR="009544FE" w:rsidRDefault="009544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E6666C" w:rsidRDefault="00E6666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7154A3"/>
    <w:multiLevelType w:val="hybridMultilevel"/>
    <w:tmpl w:val="45AC5CF8"/>
    <w:lvl w:ilvl="0" w:tplc="58F290D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E003B"/>
    <w:multiLevelType w:val="hybridMultilevel"/>
    <w:tmpl w:val="A8265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1D54A7D"/>
    <w:multiLevelType w:val="hybridMultilevel"/>
    <w:tmpl w:val="BA584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B31703"/>
    <w:multiLevelType w:val="hybridMultilevel"/>
    <w:tmpl w:val="1CAC5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D045DD"/>
    <w:multiLevelType w:val="hybridMultilevel"/>
    <w:tmpl w:val="617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FF1287"/>
    <w:multiLevelType w:val="hybridMultilevel"/>
    <w:tmpl w:val="ED78D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964029"/>
    <w:multiLevelType w:val="hybridMultilevel"/>
    <w:tmpl w:val="508C8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2E3E97"/>
    <w:multiLevelType w:val="hybridMultilevel"/>
    <w:tmpl w:val="50D08D5A"/>
    <w:lvl w:ilvl="0" w:tplc="1AE2AF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2AC507D5"/>
    <w:multiLevelType w:val="hybridMultilevel"/>
    <w:tmpl w:val="F904D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8071653"/>
    <w:multiLevelType w:val="hybridMultilevel"/>
    <w:tmpl w:val="4E129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918AA"/>
    <w:multiLevelType w:val="hybridMultilevel"/>
    <w:tmpl w:val="D8FE1F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A04D6D"/>
    <w:multiLevelType w:val="hybridMultilevel"/>
    <w:tmpl w:val="94144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1E2CEA"/>
    <w:multiLevelType w:val="hybridMultilevel"/>
    <w:tmpl w:val="6D0E2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B34413"/>
    <w:multiLevelType w:val="hybridMultilevel"/>
    <w:tmpl w:val="9C260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C324CA8"/>
    <w:multiLevelType w:val="hybridMultilevel"/>
    <w:tmpl w:val="4ACCD342"/>
    <w:lvl w:ilvl="0" w:tplc="65EC744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7B576F"/>
    <w:multiLevelType w:val="hybridMultilevel"/>
    <w:tmpl w:val="F04AE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61348A"/>
    <w:multiLevelType w:val="hybridMultilevel"/>
    <w:tmpl w:val="648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D31A39"/>
    <w:multiLevelType w:val="hybridMultilevel"/>
    <w:tmpl w:val="6C183312"/>
    <w:lvl w:ilvl="0" w:tplc="A676AA02">
      <w:start w:val="1"/>
      <w:numFmt w:val="bullet"/>
      <w:lvlText w:val=""/>
      <w:lvlJc w:val="left"/>
      <w:pPr>
        <w:tabs>
          <w:tab w:val="num" w:pos="720"/>
        </w:tabs>
        <w:ind w:left="720" w:hanging="360"/>
      </w:pPr>
      <w:rPr>
        <w:rFonts w:ascii="Symbol" w:hAnsi="Symbol" w:hint="default"/>
      </w:rPr>
    </w:lvl>
    <w:lvl w:ilvl="1" w:tplc="7E6EA448">
      <w:start w:val="168"/>
      <w:numFmt w:val="bullet"/>
      <w:lvlText w:val="−"/>
      <w:lvlJc w:val="left"/>
      <w:pPr>
        <w:tabs>
          <w:tab w:val="num" w:pos="1440"/>
        </w:tabs>
        <w:ind w:left="1440" w:hanging="360"/>
      </w:pPr>
      <w:rPr>
        <w:rFonts w:ascii="Calibre Regular" w:hAnsi="Calibre Regular" w:hint="default"/>
      </w:rPr>
    </w:lvl>
    <w:lvl w:ilvl="2" w:tplc="CC3A60C8" w:tentative="1">
      <w:start w:val="1"/>
      <w:numFmt w:val="bullet"/>
      <w:lvlText w:val=""/>
      <w:lvlJc w:val="left"/>
      <w:pPr>
        <w:tabs>
          <w:tab w:val="num" w:pos="2160"/>
        </w:tabs>
        <w:ind w:left="2160" w:hanging="360"/>
      </w:pPr>
      <w:rPr>
        <w:rFonts w:ascii="Symbol" w:hAnsi="Symbol" w:hint="default"/>
      </w:rPr>
    </w:lvl>
    <w:lvl w:ilvl="3" w:tplc="63448AC0" w:tentative="1">
      <w:start w:val="1"/>
      <w:numFmt w:val="bullet"/>
      <w:lvlText w:val=""/>
      <w:lvlJc w:val="left"/>
      <w:pPr>
        <w:tabs>
          <w:tab w:val="num" w:pos="2880"/>
        </w:tabs>
        <w:ind w:left="2880" w:hanging="360"/>
      </w:pPr>
      <w:rPr>
        <w:rFonts w:ascii="Symbol" w:hAnsi="Symbol" w:hint="default"/>
      </w:rPr>
    </w:lvl>
    <w:lvl w:ilvl="4" w:tplc="61C666AA" w:tentative="1">
      <w:start w:val="1"/>
      <w:numFmt w:val="bullet"/>
      <w:lvlText w:val=""/>
      <w:lvlJc w:val="left"/>
      <w:pPr>
        <w:tabs>
          <w:tab w:val="num" w:pos="3600"/>
        </w:tabs>
        <w:ind w:left="3600" w:hanging="360"/>
      </w:pPr>
      <w:rPr>
        <w:rFonts w:ascii="Symbol" w:hAnsi="Symbol" w:hint="default"/>
      </w:rPr>
    </w:lvl>
    <w:lvl w:ilvl="5" w:tplc="235CFDBE" w:tentative="1">
      <w:start w:val="1"/>
      <w:numFmt w:val="bullet"/>
      <w:lvlText w:val=""/>
      <w:lvlJc w:val="left"/>
      <w:pPr>
        <w:tabs>
          <w:tab w:val="num" w:pos="4320"/>
        </w:tabs>
        <w:ind w:left="4320" w:hanging="360"/>
      </w:pPr>
      <w:rPr>
        <w:rFonts w:ascii="Symbol" w:hAnsi="Symbol" w:hint="default"/>
      </w:rPr>
    </w:lvl>
    <w:lvl w:ilvl="6" w:tplc="1EBA1B40" w:tentative="1">
      <w:start w:val="1"/>
      <w:numFmt w:val="bullet"/>
      <w:lvlText w:val=""/>
      <w:lvlJc w:val="left"/>
      <w:pPr>
        <w:tabs>
          <w:tab w:val="num" w:pos="5040"/>
        </w:tabs>
        <w:ind w:left="5040" w:hanging="360"/>
      </w:pPr>
      <w:rPr>
        <w:rFonts w:ascii="Symbol" w:hAnsi="Symbol" w:hint="default"/>
      </w:rPr>
    </w:lvl>
    <w:lvl w:ilvl="7" w:tplc="B790943E" w:tentative="1">
      <w:start w:val="1"/>
      <w:numFmt w:val="bullet"/>
      <w:lvlText w:val=""/>
      <w:lvlJc w:val="left"/>
      <w:pPr>
        <w:tabs>
          <w:tab w:val="num" w:pos="5760"/>
        </w:tabs>
        <w:ind w:left="5760" w:hanging="360"/>
      </w:pPr>
      <w:rPr>
        <w:rFonts w:ascii="Symbol" w:hAnsi="Symbol" w:hint="default"/>
      </w:rPr>
    </w:lvl>
    <w:lvl w:ilvl="8" w:tplc="AA1A404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6" w15:restartNumberingAfterBreak="0">
    <w:nsid w:val="656B16BC"/>
    <w:multiLevelType w:val="hybridMultilevel"/>
    <w:tmpl w:val="87F4181A"/>
    <w:lvl w:ilvl="0" w:tplc="A9E6613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C60902"/>
    <w:multiLevelType w:val="hybridMultilevel"/>
    <w:tmpl w:val="0E54FBF2"/>
    <w:lvl w:ilvl="0" w:tplc="160652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8B5948"/>
    <w:multiLevelType w:val="hybridMultilevel"/>
    <w:tmpl w:val="09AEC92C"/>
    <w:lvl w:ilvl="0" w:tplc="17EAEB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3"/>
  </w:num>
  <w:num w:numId="3">
    <w:abstractNumId w:val="14"/>
  </w:num>
  <w:num w:numId="4">
    <w:abstractNumId w:val="28"/>
  </w:num>
  <w:num w:numId="5">
    <w:abstractNumId w:val="17"/>
  </w:num>
  <w:num w:numId="6">
    <w:abstractNumId w:val="27"/>
  </w:num>
  <w:num w:numId="7">
    <w:abstractNumId w:val="23"/>
  </w:num>
  <w:num w:numId="8">
    <w:abstractNumId w:val="22"/>
  </w:num>
  <w:num w:numId="9">
    <w:abstractNumId w:val="21"/>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9"/>
  </w:num>
  <w:num w:numId="13">
    <w:abstractNumId w:val="25"/>
  </w:num>
  <w:num w:numId="14">
    <w:abstractNumId w:val="6"/>
  </w:num>
  <w:num w:numId="15">
    <w:abstractNumId w:val="10"/>
  </w:num>
  <w:num w:numId="16">
    <w:abstractNumId w:val="1"/>
  </w:num>
  <w:num w:numId="17">
    <w:abstractNumId w:val="20"/>
  </w:num>
  <w:num w:numId="18">
    <w:abstractNumId w:val="24"/>
  </w:num>
  <w:num w:numId="19">
    <w:abstractNumId w:val="5"/>
  </w:num>
  <w:num w:numId="20">
    <w:abstractNumId w:val="2"/>
  </w:num>
  <w:num w:numId="21">
    <w:abstractNumId w:val="26"/>
  </w:num>
  <w:num w:numId="22">
    <w:abstractNumId w:val="15"/>
  </w:num>
  <w:num w:numId="23">
    <w:abstractNumId w:val="18"/>
  </w:num>
  <w:num w:numId="24">
    <w:abstractNumId w:val="11"/>
  </w:num>
  <w:num w:numId="25">
    <w:abstractNumId w:val="7"/>
  </w:num>
  <w:num w:numId="26">
    <w:abstractNumId w:val="9"/>
  </w:num>
  <w:num w:numId="27">
    <w:abstractNumId w:val="8"/>
  </w:num>
  <w:num w:numId="28">
    <w:abstractNumId w:val="13"/>
  </w:num>
  <w:num w:numId="29">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E97"/>
    <w:rsid w:val="00010FD1"/>
    <w:rsid w:val="0001117C"/>
    <w:rsid w:val="000124D1"/>
    <w:rsid w:val="00012D57"/>
    <w:rsid w:val="0001321B"/>
    <w:rsid w:val="0001369A"/>
    <w:rsid w:val="000137BA"/>
    <w:rsid w:val="00013B63"/>
    <w:rsid w:val="00013F64"/>
    <w:rsid w:val="000141F0"/>
    <w:rsid w:val="00014E0E"/>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96"/>
    <w:rsid w:val="00021C67"/>
    <w:rsid w:val="00021DEC"/>
    <w:rsid w:val="00021FE3"/>
    <w:rsid w:val="000221EB"/>
    <w:rsid w:val="000222F7"/>
    <w:rsid w:val="000233F4"/>
    <w:rsid w:val="00023C29"/>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C45"/>
    <w:rsid w:val="00036FA7"/>
    <w:rsid w:val="000370B4"/>
    <w:rsid w:val="0003723F"/>
    <w:rsid w:val="000372BF"/>
    <w:rsid w:val="000377E3"/>
    <w:rsid w:val="00037A21"/>
    <w:rsid w:val="00037C2D"/>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BFC"/>
    <w:rsid w:val="000430CF"/>
    <w:rsid w:val="00043266"/>
    <w:rsid w:val="00043407"/>
    <w:rsid w:val="00043703"/>
    <w:rsid w:val="00044225"/>
    <w:rsid w:val="00044576"/>
    <w:rsid w:val="00044872"/>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3D"/>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90"/>
    <w:rsid w:val="00082D86"/>
    <w:rsid w:val="000832D0"/>
    <w:rsid w:val="00083322"/>
    <w:rsid w:val="0008399B"/>
    <w:rsid w:val="00083ABE"/>
    <w:rsid w:val="00083DB2"/>
    <w:rsid w:val="00083F52"/>
    <w:rsid w:val="00084255"/>
    <w:rsid w:val="00085239"/>
    <w:rsid w:val="000855A3"/>
    <w:rsid w:val="00085E47"/>
    <w:rsid w:val="00085F08"/>
    <w:rsid w:val="00086210"/>
    <w:rsid w:val="000862BA"/>
    <w:rsid w:val="000862F6"/>
    <w:rsid w:val="00086B50"/>
    <w:rsid w:val="00086C4D"/>
    <w:rsid w:val="0008760B"/>
    <w:rsid w:val="0008782D"/>
    <w:rsid w:val="00087E29"/>
    <w:rsid w:val="0009037D"/>
    <w:rsid w:val="00090394"/>
    <w:rsid w:val="00090573"/>
    <w:rsid w:val="00090779"/>
    <w:rsid w:val="000915CE"/>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1FC0"/>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32D4"/>
    <w:rsid w:val="000B38DA"/>
    <w:rsid w:val="000B3F37"/>
    <w:rsid w:val="000B4788"/>
    <w:rsid w:val="000B49D7"/>
    <w:rsid w:val="000B546F"/>
    <w:rsid w:val="000B59AA"/>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493"/>
    <w:rsid w:val="000C4538"/>
    <w:rsid w:val="000C4C76"/>
    <w:rsid w:val="000C5759"/>
    <w:rsid w:val="000C5D34"/>
    <w:rsid w:val="000C5E7D"/>
    <w:rsid w:val="000C673C"/>
    <w:rsid w:val="000C69F8"/>
    <w:rsid w:val="000C6A01"/>
    <w:rsid w:val="000C71D9"/>
    <w:rsid w:val="000D0153"/>
    <w:rsid w:val="000D037E"/>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C46"/>
    <w:rsid w:val="000E7F51"/>
    <w:rsid w:val="000F00D8"/>
    <w:rsid w:val="000F095B"/>
    <w:rsid w:val="000F13C4"/>
    <w:rsid w:val="000F13D7"/>
    <w:rsid w:val="000F17E4"/>
    <w:rsid w:val="000F1878"/>
    <w:rsid w:val="000F1A06"/>
    <w:rsid w:val="000F1CF3"/>
    <w:rsid w:val="000F1F98"/>
    <w:rsid w:val="000F20CD"/>
    <w:rsid w:val="000F2965"/>
    <w:rsid w:val="000F34C7"/>
    <w:rsid w:val="000F3B40"/>
    <w:rsid w:val="000F3F2F"/>
    <w:rsid w:val="000F42EA"/>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9BB"/>
    <w:rsid w:val="001010D7"/>
    <w:rsid w:val="0010129F"/>
    <w:rsid w:val="00101489"/>
    <w:rsid w:val="001017C8"/>
    <w:rsid w:val="00101A0E"/>
    <w:rsid w:val="00101ACE"/>
    <w:rsid w:val="00101D6C"/>
    <w:rsid w:val="00102147"/>
    <w:rsid w:val="001021DD"/>
    <w:rsid w:val="001021F1"/>
    <w:rsid w:val="00102366"/>
    <w:rsid w:val="00102A33"/>
    <w:rsid w:val="00102E56"/>
    <w:rsid w:val="001032D0"/>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1494"/>
    <w:rsid w:val="001115C0"/>
    <w:rsid w:val="001115F4"/>
    <w:rsid w:val="001116D2"/>
    <w:rsid w:val="0011190B"/>
    <w:rsid w:val="00111AD9"/>
    <w:rsid w:val="0011211D"/>
    <w:rsid w:val="0011230B"/>
    <w:rsid w:val="001126ED"/>
    <w:rsid w:val="00112975"/>
    <w:rsid w:val="00112B8F"/>
    <w:rsid w:val="001134DA"/>
    <w:rsid w:val="0011372B"/>
    <w:rsid w:val="00113BC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486"/>
    <w:rsid w:val="00123975"/>
    <w:rsid w:val="00123DED"/>
    <w:rsid w:val="00124033"/>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612A"/>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6D9"/>
    <w:rsid w:val="001517AB"/>
    <w:rsid w:val="00151805"/>
    <w:rsid w:val="00151897"/>
    <w:rsid w:val="00152066"/>
    <w:rsid w:val="001522B3"/>
    <w:rsid w:val="00152559"/>
    <w:rsid w:val="00152744"/>
    <w:rsid w:val="00152A3B"/>
    <w:rsid w:val="0015347E"/>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0EF"/>
    <w:rsid w:val="0019734F"/>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B4D"/>
    <w:rsid w:val="001A4EDF"/>
    <w:rsid w:val="001A5308"/>
    <w:rsid w:val="001A6164"/>
    <w:rsid w:val="001A61A0"/>
    <w:rsid w:val="001A6AFE"/>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70CF"/>
    <w:rsid w:val="001B7244"/>
    <w:rsid w:val="001B748B"/>
    <w:rsid w:val="001B768B"/>
    <w:rsid w:val="001B7905"/>
    <w:rsid w:val="001C005D"/>
    <w:rsid w:val="001C0085"/>
    <w:rsid w:val="001C063F"/>
    <w:rsid w:val="001C0874"/>
    <w:rsid w:val="001C0883"/>
    <w:rsid w:val="001C0FF5"/>
    <w:rsid w:val="001C12A0"/>
    <w:rsid w:val="001C16A9"/>
    <w:rsid w:val="001C19EB"/>
    <w:rsid w:val="001C1E53"/>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772"/>
    <w:rsid w:val="001E09F4"/>
    <w:rsid w:val="001E0A73"/>
    <w:rsid w:val="001E111F"/>
    <w:rsid w:val="001E1284"/>
    <w:rsid w:val="001E1524"/>
    <w:rsid w:val="001E16D8"/>
    <w:rsid w:val="001E1710"/>
    <w:rsid w:val="001E1D3C"/>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E57"/>
    <w:rsid w:val="001F514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F53"/>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44C8"/>
    <w:rsid w:val="002349C5"/>
    <w:rsid w:val="00234B73"/>
    <w:rsid w:val="00235581"/>
    <w:rsid w:val="00235698"/>
    <w:rsid w:val="00236850"/>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B7F"/>
    <w:rsid w:val="00243FCB"/>
    <w:rsid w:val="0024445A"/>
    <w:rsid w:val="00244606"/>
    <w:rsid w:val="00244924"/>
    <w:rsid w:val="002449F4"/>
    <w:rsid w:val="00245115"/>
    <w:rsid w:val="0024514D"/>
    <w:rsid w:val="00245167"/>
    <w:rsid w:val="0024520E"/>
    <w:rsid w:val="0024530E"/>
    <w:rsid w:val="00245492"/>
    <w:rsid w:val="00245A41"/>
    <w:rsid w:val="00245B70"/>
    <w:rsid w:val="00245D7D"/>
    <w:rsid w:val="00245E39"/>
    <w:rsid w:val="00245E49"/>
    <w:rsid w:val="00245FBA"/>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905"/>
    <w:rsid w:val="002539D5"/>
    <w:rsid w:val="0025429A"/>
    <w:rsid w:val="00254F38"/>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7F6"/>
    <w:rsid w:val="00261D05"/>
    <w:rsid w:val="00261E67"/>
    <w:rsid w:val="002623AC"/>
    <w:rsid w:val="00262979"/>
    <w:rsid w:val="00263038"/>
    <w:rsid w:val="002631DC"/>
    <w:rsid w:val="0026382D"/>
    <w:rsid w:val="0026385F"/>
    <w:rsid w:val="00263B75"/>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819"/>
    <w:rsid w:val="00267FE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1A57"/>
    <w:rsid w:val="002A1DA1"/>
    <w:rsid w:val="002A205B"/>
    <w:rsid w:val="002A21F2"/>
    <w:rsid w:val="002A2FB8"/>
    <w:rsid w:val="002A31FF"/>
    <w:rsid w:val="002A3668"/>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7BF"/>
    <w:rsid w:val="002B0805"/>
    <w:rsid w:val="002B0960"/>
    <w:rsid w:val="002B0C99"/>
    <w:rsid w:val="002B10F9"/>
    <w:rsid w:val="002B12C7"/>
    <w:rsid w:val="002B1939"/>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B17"/>
    <w:rsid w:val="002C1D21"/>
    <w:rsid w:val="002C203A"/>
    <w:rsid w:val="002C2AE9"/>
    <w:rsid w:val="002C2B29"/>
    <w:rsid w:val="002C2E8A"/>
    <w:rsid w:val="002C2FCD"/>
    <w:rsid w:val="002C3AE4"/>
    <w:rsid w:val="002C3E89"/>
    <w:rsid w:val="002C42AA"/>
    <w:rsid w:val="002C493A"/>
    <w:rsid w:val="002C4A25"/>
    <w:rsid w:val="002C4AF6"/>
    <w:rsid w:val="002C5533"/>
    <w:rsid w:val="002C5620"/>
    <w:rsid w:val="002C5A6B"/>
    <w:rsid w:val="002C61E0"/>
    <w:rsid w:val="002C640C"/>
    <w:rsid w:val="002C6D3C"/>
    <w:rsid w:val="002C7114"/>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E0E5E"/>
    <w:rsid w:val="002E0E94"/>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D88"/>
    <w:rsid w:val="00307E05"/>
    <w:rsid w:val="00307F28"/>
    <w:rsid w:val="003101DC"/>
    <w:rsid w:val="0031049F"/>
    <w:rsid w:val="00310CC6"/>
    <w:rsid w:val="00310F30"/>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5B77"/>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FC9"/>
    <w:rsid w:val="00365023"/>
    <w:rsid w:val="00365644"/>
    <w:rsid w:val="0036590C"/>
    <w:rsid w:val="003665C5"/>
    <w:rsid w:val="00366829"/>
    <w:rsid w:val="00366B3A"/>
    <w:rsid w:val="0036707B"/>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80543"/>
    <w:rsid w:val="00380602"/>
    <w:rsid w:val="00380892"/>
    <w:rsid w:val="00380BBD"/>
    <w:rsid w:val="00380FF5"/>
    <w:rsid w:val="0038158E"/>
    <w:rsid w:val="00382182"/>
    <w:rsid w:val="003821E7"/>
    <w:rsid w:val="00382903"/>
    <w:rsid w:val="00383D4B"/>
    <w:rsid w:val="00383DDB"/>
    <w:rsid w:val="003842A8"/>
    <w:rsid w:val="00384747"/>
    <w:rsid w:val="003848D9"/>
    <w:rsid w:val="00384BC0"/>
    <w:rsid w:val="00384BD4"/>
    <w:rsid w:val="003852CC"/>
    <w:rsid w:val="00385A70"/>
    <w:rsid w:val="00385BD7"/>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138"/>
    <w:rsid w:val="003C07D7"/>
    <w:rsid w:val="003C0985"/>
    <w:rsid w:val="003C0E4F"/>
    <w:rsid w:val="003C10B8"/>
    <w:rsid w:val="003C246D"/>
    <w:rsid w:val="003C2C9D"/>
    <w:rsid w:val="003C35BB"/>
    <w:rsid w:val="003C3B73"/>
    <w:rsid w:val="003C3D6E"/>
    <w:rsid w:val="003C3F8B"/>
    <w:rsid w:val="003C4213"/>
    <w:rsid w:val="003C4250"/>
    <w:rsid w:val="003C44DB"/>
    <w:rsid w:val="003C4B1C"/>
    <w:rsid w:val="003C4F25"/>
    <w:rsid w:val="003C64CD"/>
    <w:rsid w:val="003C6580"/>
    <w:rsid w:val="003C6CCB"/>
    <w:rsid w:val="003C6DA9"/>
    <w:rsid w:val="003C7855"/>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89F"/>
    <w:rsid w:val="003E0974"/>
    <w:rsid w:val="003E0ADB"/>
    <w:rsid w:val="003E0CE4"/>
    <w:rsid w:val="003E16FD"/>
    <w:rsid w:val="003E1868"/>
    <w:rsid w:val="003E1B00"/>
    <w:rsid w:val="003E1CF4"/>
    <w:rsid w:val="003E23A4"/>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592"/>
    <w:rsid w:val="003E679D"/>
    <w:rsid w:val="003E6A3C"/>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564"/>
    <w:rsid w:val="003F2624"/>
    <w:rsid w:val="003F2711"/>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1029D"/>
    <w:rsid w:val="004102A7"/>
    <w:rsid w:val="00410700"/>
    <w:rsid w:val="00411230"/>
    <w:rsid w:val="00411472"/>
    <w:rsid w:val="00411558"/>
    <w:rsid w:val="004115E3"/>
    <w:rsid w:val="004116C3"/>
    <w:rsid w:val="004118C9"/>
    <w:rsid w:val="00412263"/>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241"/>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484B"/>
    <w:rsid w:val="004251F8"/>
    <w:rsid w:val="004253B1"/>
    <w:rsid w:val="00425C97"/>
    <w:rsid w:val="00425E42"/>
    <w:rsid w:val="00425FFD"/>
    <w:rsid w:val="004262F8"/>
    <w:rsid w:val="00426442"/>
    <w:rsid w:val="0042654A"/>
    <w:rsid w:val="00426A93"/>
    <w:rsid w:val="00426D1A"/>
    <w:rsid w:val="00426DFA"/>
    <w:rsid w:val="004272ED"/>
    <w:rsid w:val="004276E3"/>
    <w:rsid w:val="00427B9D"/>
    <w:rsid w:val="00427BFB"/>
    <w:rsid w:val="00427E67"/>
    <w:rsid w:val="00430178"/>
    <w:rsid w:val="004303B3"/>
    <w:rsid w:val="0043042C"/>
    <w:rsid w:val="00430495"/>
    <w:rsid w:val="0043063B"/>
    <w:rsid w:val="00430733"/>
    <w:rsid w:val="00430D78"/>
    <w:rsid w:val="00431149"/>
    <w:rsid w:val="0043189C"/>
    <w:rsid w:val="004318FF"/>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FB3"/>
    <w:rsid w:val="004462AF"/>
    <w:rsid w:val="00446424"/>
    <w:rsid w:val="0044662A"/>
    <w:rsid w:val="004478FA"/>
    <w:rsid w:val="00447FB0"/>
    <w:rsid w:val="004503F9"/>
    <w:rsid w:val="00450778"/>
    <w:rsid w:val="00450D3B"/>
    <w:rsid w:val="0045169D"/>
    <w:rsid w:val="004518D5"/>
    <w:rsid w:val="00451B06"/>
    <w:rsid w:val="00451BEB"/>
    <w:rsid w:val="004520FE"/>
    <w:rsid w:val="004527C0"/>
    <w:rsid w:val="00452D50"/>
    <w:rsid w:val="00453871"/>
    <w:rsid w:val="00453980"/>
    <w:rsid w:val="00453BB4"/>
    <w:rsid w:val="00453DEF"/>
    <w:rsid w:val="004540AC"/>
    <w:rsid w:val="004543E4"/>
    <w:rsid w:val="004548E5"/>
    <w:rsid w:val="00454ACD"/>
    <w:rsid w:val="00454F08"/>
    <w:rsid w:val="00454F85"/>
    <w:rsid w:val="00455105"/>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110A"/>
    <w:rsid w:val="004612C8"/>
    <w:rsid w:val="0046136B"/>
    <w:rsid w:val="004614A1"/>
    <w:rsid w:val="0046164D"/>
    <w:rsid w:val="004616E5"/>
    <w:rsid w:val="004616FF"/>
    <w:rsid w:val="0046194F"/>
    <w:rsid w:val="00461C00"/>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214"/>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40D5"/>
    <w:rsid w:val="004D4797"/>
    <w:rsid w:val="004D4968"/>
    <w:rsid w:val="004D4A8A"/>
    <w:rsid w:val="004D4ABF"/>
    <w:rsid w:val="004D50CC"/>
    <w:rsid w:val="004D58D1"/>
    <w:rsid w:val="004D5C87"/>
    <w:rsid w:val="004D5F02"/>
    <w:rsid w:val="004D602D"/>
    <w:rsid w:val="004D6115"/>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18"/>
    <w:rsid w:val="004E7B7F"/>
    <w:rsid w:val="004E7C11"/>
    <w:rsid w:val="004E7C85"/>
    <w:rsid w:val="004F01B4"/>
    <w:rsid w:val="004F020A"/>
    <w:rsid w:val="004F02AB"/>
    <w:rsid w:val="004F131A"/>
    <w:rsid w:val="004F133C"/>
    <w:rsid w:val="004F13D2"/>
    <w:rsid w:val="004F1443"/>
    <w:rsid w:val="004F152A"/>
    <w:rsid w:val="004F1633"/>
    <w:rsid w:val="004F180E"/>
    <w:rsid w:val="004F18ED"/>
    <w:rsid w:val="004F1A00"/>
    <w:rsid w:val="004F1AEF"/>
    <w:rsid w:val="004F20AA"/>
    <w:rsid w:val="004F2826"/>
    <w:rsid w:val="004F2AA6"/>
    <w:rsid w:val="004F2B9C"/>
    <w:rsid w:val="004F2CCE"/>
    <w:rsid w:val="004F304B"/>
    <w:rsid w:val="004F3368"/>
    <w:rsid w:val="004F3546"/>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946"/>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626"/>
    <w:rsid w:val="00510CE2"/>
    <w:rsid w:val="00511599"/>
    <w:rsid w:val="005119D6"/>
    <w:rsid w:val="00511E67"/>
    <w:rsid w:val="005126FC"/>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B96"/>
    <w:rsid w:val="00516E9E"/>
    <w:rsid w:val="00516EB8"/>
    <w:rsid w:val="005173A4"/>
    <w:rsid w:val="005179DC"/>
    <w:rsid w:val="0052001B"/>
    <w:rsid w:val="00520518"/>
    <w:rsid w:val="00520AE3"/>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7A0"/>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AD"/>
    <w:rsid w:val="00545C3D"/>
    <w:rsid w:val="00545E6A"/>
    <w:rsid w:val="00546310"/>
    <w:rsid w:val="00546738"/>
    <w:rsid w:val="005467D6"/>
    <w:rsid w:val="00546942"/>
    <w:rsid w:val="00546CDA"/>
    <w:rsid w:val="00546D63"/>
    <w:rsid w:val="005471A3"/>
    <w:rsid w:val="00547D9B"/>
    <w:rsid w:val="00547F14"/>
    <w:rsid w:val="0055088A"/>
    <w:rsid w:val="00550D6F"/>
    <w:rsid w:val="005511B1"/>
    <w:rsid w:val="00551248"/>
    <w:rsid w:val="00551483"/>
    <w:rsid w:val="0055157F"/>
    <w:rsid w:val="0055159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6C25"/>
    <w:rsid w:val="0056719E"/>
    <w:rsid w:val="005676F8"/>
    <w:rsid w:val="00567B3B"/>
    <w:rsid w:val="00567B75"/>
    <w:rsid w:val="005701C5"/>
    <w:rsid w:val="0057021C"/>
    <w:rsid w:val="0057025F"/>
    <w:rsid w:val="00570367"/>
    <w:rsid w:val="005703E3"/>
    <w:rsid w:val="0057054C"/>
    <w:rsid w:val="00570764"/>
    <w:rsid w:val="0057088B"/>
    <w:rsid w:val="005708C3"/>
    <w:rsid w:val="005708C6"/>
    <w:rsid w:val="00570C83"/>
    <w:rsid w:val="00570EF6"/>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6013"/>
    <w:rsid w:val="00586182"/>
    <w:rsid w:val="0058628A"/>
    <w:rsid w:val="00586B34"/>
    <w:rsid w:val="00587117"/>
    <w:rsid w:val="0058759B"/>
    <w:rsid w:val="0058764D"/>
    <w:rsid w:val="005909AD"/>
    <w:rsid w:val="00590BF6"/>
    <w:rsid w:val="00591B9C"/>
    <w:rsid w:val="00591C29"/>
    <w:rsid w:val="00592160"/>
    <w:rsid w:val="005923C9"/>
    <w:rsid w:val="00592630"/>
    <w:rsid w:val="0059284F"/>
    <w:rsid w:val="00592E68"/>
    <w:rsid w:val="0059323A"/>
    <w:rsid w:val="00593447"/>
    <w:rsid w:val="00594131"/>
    <w:rsid w:val="005943C6"/>
    <w:rsid w:val="005946E2"/>
    <w:rsid w:val="0059478F"/>
    <w:rsid w:val="0059486C"/>
    <w:rsid w:val="00595308"/>
    <w:rsid w:val="00595777"/>
    <w:rsid w:val="005959F7"/>
    <w:rsid w:val="00595DA2"/>
    <w:rsid w:val="00595E51"/>
    <w:rsid w:val="00595E99"/>
    <w:rsid w:val="00596308"/>
    <w:rsid w:val="0059634D"/>
    <w:rsid w:val="005968C4"/>
    <w:rsid w:val="00596C01"/>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A3A"/>
    <w:rsid w:val="005A6E87"/>
    <w:rsid w:val="005A7F72"/>
    <w:rsid w:val="005B0424"/>
    <w:rsid w:val="005B05DB"/>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6D7"/>
    <w:rsid w:val="005C4B4D"/>
    <w:rsid w:val="005C4CD6"/>
    <w:rsid w:val="005C4DE3"/>
    <w:rsid w:val="005C5024"/>
    <w:rsid w:val="005C5372"/>
    <w:rsid w:val="005C5379"/>
    <w:rsid w:val="005C537D"/>
    <w:rsid w:val="005C5425"/>
    <w:rsid w:val="005C5849"/>
    <w:rsid w:val="005C5A28"/>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4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6004DE"/>
    <w:rsid w:val="00600AAB"/>
    <w:rsid w:val="00600B6C"/>
    <w:rsid w:val="00601072"/>
    <w:rsid w:val="00601097"/>
    <w:rsid w:val="0060144E"/>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E5E"/>
    <w:rsid w:val="006074B1"/>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AEB"/>
    <w:rsid w:val="00623E4E"/>
    <w:rsid w:val="00624C2C"/>
    <w:rsid w:val="00624C6E"/>
    <w:rsid w:val="00624FB3"/>
    <w:rsid w:val="00624FF1"/>
    <w:rsid w:val="0062587D"/>
    <w:rsid w:val="00625B24"/>
    <w:rsid w:val="0062657C"/>
    <w:rsid w:val="00626C25"/>
    <w:rsid w:val="00626E64"/>
    <w:rsid w:val="0062725A"/>
    <w:rsid w:val="0062776C"/>
    <w:rsid w:val="00627B4F"/>
    <w:rsid w:val="00627BA3"/>
    <w:rsid w:val="00627C39"/>
    <w:rsid w:val="00627E44"/>
    <w:rsid w:val="006300D7"/>
    <w:rsid w:val="00630333"/>
    <w:rsid w:val="0063075B"/>
    <w:rsid w:val="00631007"/>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D1E"/>
    <w:rsid w:val="00650D3F"/>
    <w:rsid w:val="00650EB1"/>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4B3"/>
    <w:rsid w:val="006A29BF"/>
    <w:rsid w:val="006A2BF5"/>
    <w:rsid w:val="006A2D0E"/>
    <w:rsid w:val="006A2E66"/>
    <w:rsid w:val="006A3227"/>
    <w:rsid w:val="006A3396"/>
    <w:rsid w:val="006A351E"/>
    <w:rsid w:val="006A3F94"/>
    <w:rsid w:val="006A40D0"/>
    <w:rsid w:val="006A4113"/>
    <w:rsid w:val="006A49B5"/>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C"/>
    <w:rsid w:val="006B7864"/>
    <w:rsid w:val="006C03B2"/>
    <w:rsid w:val="006C09DD"/>
    <w:rsid w:val="006C0B08"/>
    <w:rsid w:val="006C0D37"/>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556"/>
    <w:rsid w:val="006D0846"/>
    <w:rsid w:val="006D0C09"/>
    <w:rsid w:val="006D0E7E"/>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15A9"/>
    <w:rsid w:val="0072190B"/>
    <w:rsid w:val="00721CB7"/>
    <w:rsid w:val="00721D98"/>
    <w:rsid w:val="00721DB3"/>
    <w:rsid w:val="00721E1D"/>
    <w:rsid w:val="00722260"/>
    <w:rsid w:val="00722602"/>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281"/>
    <w:rsid w:val="007263AD"/>
    <w:rsid w:val="0072650B"/>
    <w:rsid w:val="00726537"/>
    <w:rsid w:val="0072665F"/>
    <w:rsid w:val="00726EA1"/>
    <w:rsid w:val="007273EC"/>
    <w:rsid w:val="007279F1"/>
    <w:rsid w:val="00727E3C"/>
    <w:rsid w:val="00727E9F"/>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637C"/>
    <w:rsid w:val="00736732"/>
    <w:rsid w:val="00736803"/>
    <w:rsid w:val="00736886"/>
    <w:rsid w:val="00736D7B"/>
    <w:rsid w:val="007377ED"/>
    <w:rsid w:val="007379C8"/>
    <w:rsid w:val="007406A2"/>
    <w:rsid w:val="007406C0"/>
    <w:rsid w:val="00740AC1"/>
    <w:rsid w:val="00740B5C"/>
    <w:rsid w:val="00740BF9"/>
    <w:rsid w:val="00740DD7"/>
    <w:rsid w:val="0074108B"/>
    <w:rsid w:val="00741434"/>
    <w:rsid w:val="0074146A"/>
    <w:rsid w:val="007415B6"/>
    <w:rsid w:val="00741A56"/>
    <w:rsid w:val="007420C9"/>
    <w:rsid w:val="00742695"/>
    <w:rsid w:val="00742A51"/>
    <w:rsid w:val="00743468"/>
    <w:rsid w:val="007435B1"/>
    <w:rsid w:val="007436B1"/>
    <w:rsid w:val="007436D5"/>
    <w:rsid w:val="00743867"/>
    <w:rsid w:val="00743D54"/>
    <w:rsid w:val="00744055"/>
    <w:rsid w:val="0074443A"/>
    <w:rsid w:val="0074462D"/>
    <w:rsid w:val="0074475B"/>
    <w:rsid w:val="00744E4F"/>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32"/>
    <w:rsid w:val="007613AF"/>
    <w:rsid w:val="0076145C"/>
    <w:rsid w:val="007619FB"/>
    <w:rsid w:val="00761A37"/>
    <w:rsid w:val="0076200C"/>
    <w:rsid w:val="00762924"/>
    <w:rsid w:val="0076295C"/>
    <w:rsid w:val="00762FA7"/>
    <w:rsid w:val="00763055"/>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EC7"/>
    <w:rsid w:val="007743A1"/>
    <w:rsid w:val="007744EF"/>
    <w:rsid w:val="00775BAA"/>
    <w:rsid w:val="00775C35"/>
    <w:rsid w:val="00775EFD"/>
    <w:rsid w:val="00775F11"/>
    <w:rsid w:val="00776351"/>
    <w:rsid w:val="007765B0"/>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30D"/>
    <w:rsid w:val="007B645F"/>
    <w:rsid w:val="007B6B0D"/>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EF3"/>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F8"/>
    <w:rsid w:val="007E42F2"/>
    <w:rsid w:val="007E4653"/>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864"/>
    <w:rsid w:val="007F795B"/>
    <w:rsid w:val="007F7DCC"/>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B79"/>
    <w:rsid w:val="00803E2E"/>
    <w:rsid w:val="00803FD6"/>
    <w:rsid w:val="008041E1"/>
    <w:rsid w:val="008046AA"/>
    <w:rsid w:val="00804867"/>
    <w:rsid w:val="00804B2F"/>
    <w:rsid w:val="00804B56"/>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D28"/>
    <w:rsid w:val="00807D5E"/>
    <w:rsid w:val="00807E1B"/>
    <w:rsid w:val="008100D3"/>
    <w:rsid w:val="0081012C"/>
    <w:rsid w:val="008103E8"/>
    <w:rsid w:val="00810DE9"/>
    <w:rsid w:val="00810EAE"/>
    <w:rsid w:val="00811036"/>
    <w:rsid w:val="00812027"/>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9A1"/>
    <w:rsid w:val="00841EE6"/>
    <w:rsid w:val="00841FA0"/>
    <w:rsid w:val="00842061"/>
    <w:rsid w:val="0084239E"/>
    <w:rsid w:val="0084296C"/>
    <w:rsid w:val="00842B49"/>
    <w:rsid w:val="00842DB7"/>
    <w:rsid w:val="008431F3"/>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A9F"/>
    <w:rsid w:val="00864C02"/>
    <w:rsid w:val="00864F2D"/>
    <w:rsid w:val="008650AB"/>
    <w:rsid w:val="00865696"/>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61A5"/>
    <w:rsid w:val="008965CC"/>
    <w:rsid w:val="0089699C"/>
    <w:rsid w:val="00896D10"/>
    <w:rsid w:val="00896DF5"/>
    <w:rsid w:val="00896FD8"/>
    <w:rsid w:val="00897082"/>
    <w:rsid w:val="008970F6"/>
    <w:rsid w:val="008971DB"/>
    <w:rsid w:val="008972CB"/>
    <w:rsid w:val="008975C4"/>
    <w:rsid w:val="00897FA7"/>
    <w:rsid w:val="008A0173"/>
    <w:rsid w:val="008A0339"/>
    <w:rsid w:val="008A03A0"/>
    <w:rsid w:val="008A0473"/>
    <w:rsid w:val="008A04C7"/>
    <w:rsid w:val="008A1C65"/>
    <w:rsid w:val="008A1EA1"/>
    <w:rsid w:val="008A1FBC"/>
    <w:rsid w:val="008A24BD"/>
    <w:rsid w:val="008A288A"/>
    <w:rsid w:val="008A294D"/>
    <w:rsid w:val="008A2AAE"/>
    <w:rsid w:val="008A2F26"/>
    <w:rsid w:val="008A36ED"/>
    <w:rsid w:val="008A3898"/>
    <w:rsid w:val="008A39E2"/>
    <w:rsid w:val="008A42D8"/>
    <w:rsid w:val="008A457F"/>
    <w:rsid w:val="008A47BC"/>
    <w:rsid w:val="008A4DAC"/>
    <w:rsid w:val="008A4E04"/>
    <w:rsid w:val="008A53C3"/>
    <w:rsid w:val="008A5846"/>
    <w:rsid w:val="008A59E9"/>
    <w:rsid w:val="008A5AB1"/>
    <w:rsid w:val="008A5FE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3B"/>
    <w:rsid w:val="008D13DC"/>
    <w:rsid w:val="008D149D"/>
    <w:rsid w:val="008D1988"/>
    <w:rsid w:val="008D1E23"/>
    <w:rsid w:val="008D2209"/>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B88"/>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BEE"/>
    <w:rsid w:val="00910874"/>
    <w:rsid w:val="009108A7"/>
    <w:rsid w:val="009111DD"/>
    <w:rsid w:val="009112C7"/>
    <w:rsid w:val="00911A5A"/>
    <w:rsid w:val="00911E1A"/>
    <w:rsid w:val="0091225D"/>
    <w:rsid w:val="009123B9"/>
    <w:rsid w:val="00912A63"/>
    <w:rsid w:val="00912A96"/>
    <w:rsid w:val="00912F6D"/>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747"/>
    <w:rsid w:val="0093485A"/>
    <w:rsid w:val="00934FFD"/>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464F"/>
    <w:rsid w:val="00994D59"/>
    <w:rsid w:val="009951AB"/>
    <w:rsid w:val="0099531F"/>
    <w:rsid w:val="00995360"/>
    <w:rsid w:val="009954AD"/>
    <w:rsid w:val="0099647E"/>
    <w:rsid w:val="00996A8B"/>
    <w:rsid w:val="00996CD4"/>
    <w:rsid w:val="00997033"/>
    <w:rsid w:val="0099731A"/>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A6D"/>
    <w:rsid w:val="009A3AB5"/>
    <w:rsid w:val="009A3BA5"/>
    <w:rsid w:val="009A4AA9"/>
    <w:rsid w:val="009A4EA0"/>
    <w:rsid w:val="009A516A"/>
    <w:rsid w:val="009A5434"/>
    <w:rsid w:val="009A56A7"/>
    <w:rsid w:val="009A5EF9"/>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2F"/>
    <w:rsid w:val="009B3D47"/>
    <w:rsid w:val="009B4250"/>
    <w:rsid w:val="009B4821"/>
    <w:rsid w:val="009B4C1C"/>
    <w:rsid w:val="009B4C24"/>
    <w:rsid w:val="009B5821"/>
    <w:rsid w:val="009B70E9"/>
    <w:rsid w:val="009B719B"/>
    <w:rsid w:val="009B7564"/>
    <w:rsid w:val="009B7BB7"/>
    <w:rsid w:val="009B7D5C"/>
    <w:rsid w:val="009B7DF5"/>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952"/>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E7E"/>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B10"/>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44"/>
    <w:rsid w:val="00A32C37"/>
    <w:rsid w:val="00A3331F"/>
    <w:rsid w:val="00A3393A"/>
    <w:rsid w:val="00A34685"/>
    <w:rsid w:val="00A34AFB"/>
    <w:rsid w:val="00A34BE5"/>
    <w:rsid w:val="00A34DA0"/>
    <w:rsid w:val="00A35A0B"/>
    <w:rsid w:val="00A35BD0"/>
    <w:rsid w:val="00A362CB"/>
    <w:rsid w:val="00A3651A"/>
    <w:rsid w:val="00A37413"/>
    <w:rsid w:val="00A3747D"/>
    <w:rsid w:val="00A37A59"/>
    <w:rsid w:val="00A37E05"/>
    <w:rsid w:val="00A40531"/>
    <w:rsid w:val="00A40660"/>
    <w:rsid w:val="00A40C1E"/>
    <w:rsid w:val="00A41821"/>
    <w:rsid w:val="00A41C5C"/>
    <w:rsid w:val="00A41D7F"/>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B"/>
    <w:rsid w:val="00A5044D"/>
    <w:rsid w:val="00A509DE"/>
    <w:rsid w:val="00A50B00"/>
    <w:rsid w:val="00A50D49"/>
    <w:rsid w:val="00A511FB"/>
    <w:rsid w:val="00A51327"/>
    <w:rsid w:val="00A514EB"/>
    <w:rsid w:val="00A516EF"/>
    <w:rsid w:val="00A521E0"/>
    <w:rsid w:val="00A524C8"/>
    <w:rsid w:val="00A5291D"/>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4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6F9C"/>
    <w:rsid w:val="00A9727C"/>
    <w:rsid w:val="00A97666"/>
    <w:rsid w:val="00A97B8A"/>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D67"/>
    <w:rsid w:val="00AB4EFB"/>
    <w:rsid w:val="00AB513E"/>
    <w:rsid w:val="00AB51DA"/>
    <w:rsid w:val="00AB53BA"/>
    <w:rsid w:val="00AB57AD"/>
    <w:rsid w:val="00AB583A"/>
    <w:rsid w:val="00AB5E39"/>
    <w:rsid w:val="00AB607B"/>
    <w:rsid w:val="00AB642C"/>
    <w:rsid w:val="00AB644A"/>
    <w:rsid w:val="00AB6458"/>
    <w:rsid w:val="00AB6CA0"/>
    <w:rsid w:val="00AB76D5"/>
    <w:rsid w:val="00AB7787"/>
    <w:rsid w:val="00AB78AC"/>
    <w:rsid w:val="00AB7913"/>
    <w:rsid w:val="00AB79A8"/>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F9A"/>
    <w:rsid w:val="00B2613A"/>
    <w:rsid w:val="00B263BE"/>
    <w:rsid w:val="00B269CE"/>
    <w:rsid w:val="00B271E3"/>
    <w:rsid w:val="00B27202"/>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6F6"/>
    <w:rsid w:val="00B437BD"/>
    <w:rsid w:val="00B43985"/>
    <w:rsid w:val="00B439FA"/>
    <w:rsid w:val="00B43D4D"/>
    <w:rsid w:val="00B440CF"/>
    <w:rsid w:val="00B4418B"/>
    <w:rsid w:val="00B443C5"/>
    <w:rsid w:val="00B4485B"/>
    <w:rsid w:val="00B453AD"/>
    <w:rsid w:val="00B45A61"/>
    <w:rsid w:val="00B45AC0"/>
    <w:rsid w:val="00B46501"/>
    <w:rsid w:val="00B47389"/>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A49"/>
    <w:rsid w:val="00B70EDB"/>
    <w:rsid w:val="00B7160D"/>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D87"/>
    <w:rsid w:val="00B87AF3"/>
    <w:rsid w:val="00B87C60"/>
    <w:rsid w:val="00B90165"/>
    <w:rsid w:val="00B911E8"/>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3FF"/>
    <w:rsid w:val="00B954FC"/>
    <w:rsid w:val="00B95A04"/>
    <w:rsid w:val="00B95C49"/>
    <w:rsid w:val="00B95EEF"/>
    <w:rsid w:val="00B95FD7"/>
    <w:rsid w:val="00B96228"/>
    <w:rsid w:val="00B96313"/>
    <w:rsid w:val="00B96CF0"/>
    <w:rsid w:val="00B96DA2"/>
    <w:rsid w:val="00B977E6"/>
    <w:rsid w:val="00BA067F"/>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6CB"/>
    <w:rsid w:val="00BE197A"/>
    <w:rsid w:val="00BE1A06"/>
    <w:rsid w:val="00BE1F8E"/>
    <w:rsid w:val="00BE2DD4"/>
    <w:rsid w:val="00BE2E99"/>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7E0"/>
    <w:rsid w:val="00C05863"/>
    <w:rsid w:val="00C05C20"/>
    <w:rsid w:val="00C05D67"/>
    <w:rsid w:val="00C05F3E"/>
    <w:rsid w:val="00C06031"/>
    <w:rsid w:val="00C06066"/>
    <w:rsid w:val="00C0648A"/>
    <w:rsid w:val="00C067A4"/>
    <w:rsid w:val="00C06E36"/>
    <w:rsid w:val="00C06F8C"/>
    <w:rsid w:val="00C0734B"/>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C6"/>
    <w:rsid w:val="00C1662C"/>
    <w:rsid w:val="00C16813"/>
    <w:rsid w:val="00C16B16"/>
    <w:rsid w:val="00C16CEE"/>
    <w:rsid w:val="00C17099"/>
    <w:rsid w:val="00C170AE"/>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66B"/>
    <w:rsid w:val="00C359AA"/>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C66"/>
    <w:rsid w:val="00C464A1"/>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B0072"/>
    <w:rsid w:val="00CB01BC"/>
    <w:rsid w:val="00CB03CF"/>
    <w:rsid w:val="00CB047F"/>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823"/>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F2"/>
    <w:rsid w:val="00CE253D"/>
    <w:rsid w:val="00CE2DF0"/>
    <w:rsid w:val="00CE3257"/>
    <w:rsid w:val="00CE38AA"/>
    <w:rsid w:val="00CE3CDC"/>
    <w:rsid w:val="00CE3D16"/>
    <w:rsid w:val="00CE3D41"/>
    <w:rsid w:val="00CE3FBA"/>
    <w:rsid w:val="00CE44B7"/>
    <w:rsid w:val="00CE5386"/>
    <w:rsid w:val="00CE53A7"/>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4CC3"/>
    <w:rsid w:val="00D45B68"/>
    <w:rsid w:val="00D4601D"/>
    <w:rsid w:val="00D466E5"/>
    <w:rsid w:val="00D467C7"/>
    <w:rsid w:val="00D4688E"/>
    <w:rsid w:val="00D46E3E"/>
    <w:rsid w:val="00D46F2D"/>
    <w:rsid w:val="00D470C1"/>
    <w:rsid w:val="00D47151"/>
    <w:rsid w:val="00D471EF"/>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A9A"/>
    <w:rsid w:val="00D52E1D"/>
    <w:rsid w:val="00D53163"/>
    <w:rsid w:val="00D53387"/>
    <w:rsid w:val="00D53768"/>
    <w:rsid w:val="00D537B0"/>
    <w:rsid w:val="00D54370"/>
    <w:rsid w:val="00D5438E"/>
    <w:rsid w:val="00D5490B"/>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70B"/>
    <w:rsid w:val="00D74AF7"/>
    <w:rsid w:val="00D7505F"/>
    <w:rsid w:val="00D75199"/>
    <w:rsid w:val="00D75277"/>
    <w:rsid w:val="00D755A0"/>
    <w:rsid w:val="00D75843"/>
    <w:rsid w:val="00D758A1"/>
    <w:rsid w:val="00D75E85"/>
    <w:rsid w:val="00D75F68"/>
    <w:rsid w:val="00D7643F"/>
    <w:rsid w:val="00D7648B"/>
    <w:rsid w:val="00D769F0"/>
    <w:rsid w:val="00D76E0D"/>
    <w:rsid w:val="00D76E83"/>
    <w:rsid w:val="00D771C9"/>
    <w:rsid w:val="00D800A1"/>
    <w:rsid w:val="00D8036A"/>
    <w:rsid w:val="00D80AB8"/>
    <w:rsid w:val="00D80C93"/>
    <w:rsid w:val="00D80CCB"/>
    <w:rsid w:val="00D81303"/>
    <w:rsid w:val="00D81307"/>
    <w:rsid w:val="00D81465"/>
    <w:rsid w:val="00D817FD"/>
    <w:rsid w:val="00D820F3"/>
    <w:rsid w:val="00D829AC"/>
    <w:rsid w:val="00D82AA1"/>
    <w:rsid w:val="00D83401"/>
    <w:rsid w:val="00D83850"/>
    <w:rsid w:val="00D84268"/>
    <w:rsid w:val="00D84278"/>
    <w:rsid w:val="00D846C5"/>
    <w:rsid w:val="00D847C6"/>
    <w:rsid w:val="00D84EF8"/>
    <w:rsid w:val="00D84F16"/>
    <w:rsid w:val="00D86095"/>
    <w:rsid w:val="00D86ACF"/>
    <w:rsid w:val="00D86B37"/>
    <w:rsid w:val="00D86EF6"/>
    <w:rsid w:val="00D87154"/>
    <w:rsid w:val="00D8778A"/>
    <w:rsid w:val="00D91009"/>
    <w:rsid w:val="00D9120D"/>
    <w:rsid w:val="00D9126A"/>
    <w:rsid w:val="00D912DF"/>
    <w:rsid w:val="00D9134B"/>
    <w:rsid w:val="00D9151F"/>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D08"/>
    <w:rsid w:val="00D97E86"/>
    <w:rsid w:val="00DA000D"/>
    <w:rsid w:val="00DA015E"/>
    <w:rsid w:val="00DA02EC"/>
    <w:rsid w:val="00DA05B0"/>
    <w:rsid w:val="00DA0FC0"/>
    <w:rsid w:val="00DA10F6"/>
    <w:rsid w:val="00DA1D80"/>
    <w:rsid w:val="00DA2046"/>
    <w:rsid w:val="00DA2185"/>
    <w:rsid w:val="00DA23D2"/>
    <w:rsid w:val="00DA29C4"/>
    <w:rsid w:val="00DA2D90"/>
    <w:rsid w:val="00DA3A26"/>
    <w:rsid w:val="00DA3B43"/>
    <w:rsid w:val="00DA3F00"/>
    <w:rsid w:val="00DA43CA"/>
    <w:rsid w:val="00DA4562"/>
    <w:rsid w:val="00DA4788"/>
    <w:rsid w:val="00DA492A"/>
    <w:rsid w:val="00DA49D8"/>
    <w:rsid w:val="00DA518C"/>
    <w:rsid w:val="00DA5655"/>
    <w:rsid w:val="00DA5CA9"/>
    <w:rsid w:val="00DA5E7E"/>
    <w:rsid w:val="00DA714A"/>
    <w:rsid w:val="00DA71AF"/>
    <w:rsid w:val="00DA727D"/>
    <w:rsid w:val="00DA7A85"/>
    <w:rsid w:val="00DA7BC7"/>
    <w:rsid w:val="00DA7E4C"/>
    <w:rsid w:val="00DA7EC1"/>
    <w:rsid w:val="00DB0564"/>
    <w:rsid w:val="00DB0568"/>
    <w:rsid w:val="00DB0D5D"/>
    <w:rsid w:val="00DB0F35"/>
    <w:rsid w:val="00DB1539"/>
    <w:rsid w:val="00DB1F98"/>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44C"/>
    <w:rsid w:val="00DD09C5"/>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42A3"/>
    <w:rsid w:val="00DE464E"/>
    <w:rsid w:val="00DE4664"/>
    <w:rsid w:val="00DE4811"/>
    <w:rsid w:val="00DE4B0C"/>
    <w:rsid w:val="00DE5FDA"/>
    <w:rsid w:val="00DE61AA"/>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5C2"/>
    <w:rsid w:val="00DF360E"/>
    <w:rsid w:val="00DF3623"/>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0DA9"/>
    <w:rsid w:val="00E11EB8"/>
    <w:rsid w:val="00E1273A"/>
    <w:rsid w:val="00E12933"/>
    <w:rsid w:val="00E12A5A"/>
    <w:rsid w:val="00E12AF0"/>
    <w:rsid w:val="00E136AE"/>
    <w:rsid w:val="00E139D0"/>
    <w:rsid w:val="00E14262"/>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474"/>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6DD2"/>
    <w:rsid w:val="00E272FE"/>
    <w:rsid w:val="00E30063"/>
    <w:rsid w:val="00E30517"/>
    <w:rsid w:val="00E3070A"/>
    <w:rsid w:val="00E30A72"/>
    <w:rsid w:val="00E30DB2"/>
    <w:rsid w:val="00E31506"/>
    <w:rsid w:val="00E31586"/>
    <w:rsid w:val="00E31AAC"/>
    <w:rsid w:val="00E3200D"/>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7BF"/>
    <w:rsid w:val="00E37C25"/>
    <w:rsid w:val="00E40362"/>
    <w:rsid w:val="00E4038C"/>
    <w:rsid w:val="00E40A63"/>
    <w:rsid w:val="00E41834"/>
    <w:rsid w:val="00E41BAC"/>
    <w:rsid w:val="00E42532"/>
    <w:rsid w:val="00E42D71"/>
    <w:rsid w:val="00E432AE"/>
    <w:rsid w:val="00E434D2"/>
    <w:rsid w:val="00E4356E"/>
    <w:rsid w:val="00E43F1E"/>
    <w:rsid w:val="00E4466A"/>
    <w:rsid w:val="00E447D5"/>
    <w:rsid w:val="00E45041"/>
    <w:rsid w:val="00E450D8"/>
    <w:rsid w:val="00E452D0"/>
    <w:rsid w:val="00E45A9D"/>
    <w:rsid w:val="00E4607D"/>
    <w:rsid w:val="00E460A1"/>
    <w:rsid w:val="00E46CC9"/>
    <w:rsid w:val="00E47D5F"/>
    <w:rsid w:val="00E47D96"/>
    <w:rsid w:val="00E47DF6"/>
    <w:rsid w:val="00E50344"/>
    <w:rsid w:val="00E508D6"/>
    <w:rsid w:val="00E515A3"/>
    <w:rsid w:val="00E51E23"/>
    <w:rsid w:val="00E523F3"/>
    <w:rsid w:val="00E52A15"/>
    <w:rsid w:val="00E52F76"/>
    <w:rsid w:val="00E5315C"/>
    <w:rsid w:val="00E534EA"/>
    <w:rsid w:val="00E538E0"/>
    <w:rsid w:val="00E53F95"/>
    <w:rsid w:val="00E547DF"/>
    <w:rsid w:val="00E54D33"/>
    <w:rsid w:val="00E564C1"/>
    <w:rsid w:val="00E56898"/>
    <w:rsid w:val="00E56D97"/>
    <w:rsid w:val="00E56E3C"/>
    <w:rsid w:val="00E56F3C"/>
    <w:rsid w:val="00E5711F"/>
    <w:rsid w:val="00E571C0"/>
    <w:rsid w:val="00E57456"/>
    <w:rsid w:val="00E57623"/>
    <w:rsid w:val="00E5797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C84"/>
    <w:rsid w:val="00E643D0"/>
    <w:rsid w:val="00E64763"/>
    <w:rsid w:val="00E647DC"/>
    <w:rsid w:val="00E6484F"/>
    <w:rsid w:val="00E64B4F"/>
    <w:rsid w:val="00E65A35"/>
    <w:rsid w:val="00E65E6B"/>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641"/>
    <w:rsid w:val="00EA3D67"/>
    <w:rsid w:val="00EA3DB9"/>
    <w:rsid w:val="00EA475F"/>
    <w:rsid w:val="00EA4A36"/>
    <w:rsid w:val="00EA5029"/>
    <w:rsid w:val="00EA5335"/>
    <w:rsid w:val="00EA630B"/>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D51"/>
    <w:rsid w:val="00F05EED"/>
    <w:rsid w:val="00F068D2"/>
    <w:rsid w:val="00F06F02"/>
    <w:rsid w:val="00F07D39"/>
    <w:rsid w:val="00F10437"/>
    <w:rsid w:val="00F10465"/>
    <w:rsid w:val="00F10780"/>
    <w:rsid w:val="00F10864"/>
    <w:rsid w:val="00F10EB6"/>
    <w:rsid w:val="00F1165E"/>
    <w:rsid w:val="00F11CF5"/>
    <w:rsid w:val="00F12909"/>
    <w:rsid w:val="00F12B3D"/>
    <w:rsid w:val="00F12D5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9FF"/>
    <w:rsid w:val="00F377A2"/>
    <w:rsid w:val="00F37922"/>
    <w:rsid w:val="00F37AEF"/>
    <w:rsid w:val="00F37C39"/>
    <w:rsid w:val="00F37DC6"/>
    <w:rsid w:val="00F37E70"/>
    <w:rsid w:val="00F40C88"/>
    <w:rsid w:val="00F413BA"/>
    <w:rsid w:val="00F41576"/>
    <w:rsid w:val="00F41D1F"/>
    <w:rsid w:val="00F426B0"/>
    <w:rsid w:val="00F42910"/>
    <w:rsid w:val="00F42C2B"/>
    <w:rsid w:val="00F44833"/>
    <w:rsid w:val="00F45B82"/>
    <w:rsid w:val="00F46694"/>
    <w:rsid w:val="00F467B0"/>
    <w:rsid w:val="00F4683A"/>
    <w:rsid w:val="00F46E40"/>
    <w:rsid w:val="00F46EAB"/>
    <w:rsid w:val="00F46F8B"/>
    <w:rsid w:val="00F47132"/>
    <w:rsid w:val="00F47728"/>
    <w:rsid w:val="00F4786E"/>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B39"/>
    <w:rsid w:val="00F550B5"/>
    <w:rsid w:val="00F553D1"/>
    <w:rsid w:val="00F55410"/>
    <w:rsid w:val="00F558E3"/>
    <w:rsid w:val="00F55AC5"/>
    <w:rsid w:val="00F564B4"/>
    <w:rsid w:val="00F56D31"/>
    <w:rsid w:val="00F56F50"/>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010"/>
    <w:rsid w:val="00F7315E"/>
    <w:rsid w:val="00F737F5"/>
    <w:rsid w:val="00F73F43"/>
    <w:rsid w:val="00F74664"/>
    <w:rsid w:val="00F74791"/>
    <w:rsid w:val="00F747FD"/>
    <w:rsid w:val="00F74A7A"/>
    <w:rsid w:val="00F75057"/>
    <w:rsid w:val="00F75C0B"/>
    <w:rsid w:val="00F763DF"/>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895"/>
    <w:rsid w:val="00FF0BBB"/>
    <w:rsid w:val="00FF1455"/>
    <w:rsid w:val="00FF1716"/>
    <w:rsid w:val="00FF1920"/>
    <w:rsid w:val="00FF1ACF"/>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CF6"/>
    <w:rsid w:val="00FF70CF"/>
    <w:rsid w:val="00FF72A3"/>
    <w:rsid w:val="00FF74BE"/>
    <w:rsid w:val="00FF75D0"/>
    <w:rsid w:val="00FF78DB"/>
    <w:rsid w:val="00FF7A04"/>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3FABF6FE-F162-4AA9-B430-4FFE50C5F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
    <w:basedOn w:val="Normal"/>
    <w:next w:val="Normal"/>
    <w:link w:val="CaptionChar1"/>
    <w:uiPriority w:val="99"/>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
    <w:basedOn w:val="Normal"/>
    <w:link w:val="ListParagraphChar"/>
    <w:uiPriority w:val="34"/>
    <w:qFormat/>
    <w:rsid w:val="00105EFB"/>
    <w:pPr>
      <w:numPr>
        <w:numId w:val="6"/>
      </w:numPr>
      <w:overflowPunct/>
      <w:autoSpaceDE/>
      <w:autoSpaceDN/>
      <w:adjustRightInd/>
      <w:spacing w:after="120"/>
      <w:textAlignment w:val="auto"/>
    </w:pPr>
    <w:rPr>
      <w:rFonts w:eastAsia="Calibri"/>
      <w:szCs w:val="22"/>
      <w:lang w:val="en-GB"/>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
    <w:link w:val="ListParagraph"/>
    <w:uiPriority w:val="34"/>
    <w:qFormat/>
    <w:locked/>
    <w:rsid w:val="00105EFB"/>
    <w:rPr>
      <w:rFonts w:ascii="Times New Roman" w:eastAsia="Calibri" w:hAnsi="Times New Roman"/>
      <w:szCs w:val="22"/>
      <w:lang w:val="en-GB"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 w:type="character" w:customStyle="1" w:styleId="BodyTextChar">
    <w:name w:val="Body Text Char"/>
    <w:aliases w:val="bt Char"/>
    <w:basedOn w:val="DefaultParagraphFont"/>
    <w:link w:val="BodyText"/>
    <w:rsid w:val="00921FC2"/>
    <w:rPr>
      <w:rFonts w:ascii="Times" w:hAnsi="Times"/>
      <w:szCs w:val="24"/>
      <w:lang w:eastAsia="en-US"/>
    </w:rPr>
  </w:style>
  <w:style w:type="table" w:styleId="GridTable4-Accent1">
    <w:name w:val="Grid Table 4 Accent 1"/>
    <w:basedOn w:val="TableNormal"/>
    <w:uiPriority w:val="49"/>
    <w:rsid w:val="00091ADD"/>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ableofFigures">
    <w:name w:val="table of figures"/>
    <w:basedOn w:val="Normal"/>
    <w:next w:val="Normal"/>
    <w:uiPriority w:val="99"/>
    <w:unhideWhenUsed/>
    <w:rsid w:val="00331915"/>
    <w:pPr>
      <w:spacing w:before="120" w:after="120"/>
    </w:p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D81303"/>
    <w:rPr>
      <w:rFonts w:ascii="Times New Roman" w:hAnsi="Times New Roman"/>
      <w:b/>
      <w:bCs/>
      <w:lang w:eastAsia="en-US"/>
    </w:rPr>
  </w:style>
  <w:style w:type="numbering" w:customStyle="1" w:styleId="StyleBulleted">
    <w:name w:val="Style Bulleted"/>
    <w:rsid w:val="00CC124C"/>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1586094">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306147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32231">
          <w:marLeft w:val="1166"/>
          <w:marRight w:val="0"/>
          <w:marTop w:val="96"/>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1420634627">
          <w:marLeft w:val="547"/>
          <w:marRight w:val="0"/>
          <w:marTop w:val="115"/>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40425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173837065">
          <w:marLeft w:val="547"/>
          <w:marRight w:val="0"/>
          <w:marTop w:val="115"/>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87969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179333">
      <w:bodyDiv w:val="1"/>
      <w:marLeft w:val="0"/>
      <w:marRight w:val="0"/>
      <w:marTop w:val="0"/>
      <w:marBottom w:val="0"/>
      <w:divBdr>
        <w:top w:val="none" w:sz="0" w:space="0" w:color="auto"/>
        <w:left w:val="none" w:sz="0" w:space="0" w:color="auto"/>
        <w:bottom w:val="none" w:sz="0" w:space="0" w:color="auto"/>
        <w:right w:val="none" w:sz="0" w:space="0" w:color="auto"/>
      </w:divBdr>
      <w:divsChild>
        <w:div w:id="111482863">
          <w:marLeft w:val="1166"/>
          <w:marRight w:val="0"/>
          <w:marTop w:val="96"/>
          <w:marBottom w:val="0"/>
          <w:divBdr>
            <w:top w:val="none" w:sz="0" w:space="0" w:color="auto"/>
            <w:left w:val="none" w:sz="0" w:space="0" w:color="auto"/>
            <w:bottom w:val="none" w:sz="0" w:space="0" w:color="auto"/>
            <w:right w:val="none" w:sz="0" w:space="0" w:color="auto"/>
          </w:divBdr>
        </w:div>
        <w:div w:id="114761588">
          <w:marLeft w:val="1166"/>
          <w:marRight w:val="0"/>
          <w:marTop w:val="96"/>
          <w:marBottom w:val="0"/>
          <w:divBdr>
            <w:top w:val="none" w:sz="0" w:space="0" w:color="auto"/>
            <w:left w:val="none" w:sz="0" w:space="0" w:color="auto"/>
            <w:bottom w:val="none" w:sz="0" w:space="0" w:color="auto"/>
            <w:right w:val="none" w:sz="0" w:space="0" w:color="auto"/>
          </w:divBdr>
        </w:div>
        <w:div w:id="215121712">
          <w:marLeft w:val="547"/>
          <w:marRight w:val="0"/>
          <w:marTop w:val="115"/>
          <w:marBottom w:val="0"/>
          <w:divBdr>
            <w:top w:val="none" w:sz="0" w:space="0" w:color="auto"/>
            <w:left w:val="none" w:sz="0" w:space="0" w:color="auto"/>
            <w:bottom w:val="none" w:sz="0" w:space="0" w:color="auto"/>
            <w:right w:val="none" w:sz="0" w:space="0" w:color="auto"/>
          </w:divBdr>
        </w:div>
        <w:div w:id="600572695">
          <w:marLeft w:val="1166"/>
          <w:marRight w:val="0"/>
          <w:marTop w:val="96"/>
          <w:marBottom w:val="0"/>
          <w:divBdr>
            <w:top w:val="none" w:sz="0" w:space="0" w:color="auto"/>
            <w:left w:val="none" w:sz="0" w:space="0" w:color="auto"/>
            <w:bottom w:val="none" w:sz="0" w:space="0" w:color="auto"/>
            <w:right w:val="none" w:sz="0" w:space="0" w:color="auto"/>
          </w:divBdr>
        </w:div>
        <w:div w:id="608776937">
          <w:marLeft w:val="547"/>
          <w:marRight w:val="0"/>
          <w:marTop w:val="115"/>
          <w:marBottom w:val="0"/>
          <w:divBdr>
            <w:top w:val="none" w:sz="0" w:space="0" w:color="auto"/>
            <w:left w:val="none" w:sz="0" w:space="0" w:color="auto"/>
            <w:bottom w:val="none" w:sz="0" w:space="0" w:color="auto"/>
            <w:right w:val="none" w:sz="0" w:space="0" w:color="auto"/>
          </w:divBdr>
        </w:div>
        <w:div w:id="697656491">
          <w:marLeft w:val="1627"/>
          <w:marRight w:val="0"/>
          <w:marTop w:val="86"/>
          <w:marBottom w:val="0"/>
          <w:divBdr>
            <w:top w:val="none" w:sz="0" w:space="0" w:color="auto"/>
            <w:left w:val="none" w:sz="0" w:space="0" w:color="auto"/>
            <w:bottom w:val="none" w:sz="0" w:space="0" w:color="auto"/>
            <w:right w:val="none" w:sz="0" w:space="0" w:color="auto"/>
          </w:divBdr>
        </w:div>
        <w:div w:id="770469519">
          <w:marLeft w:val="1627"/>
          <w:marRight w:val="0"/>
          <w:marTop w:val="86"/>
          <w:marBottom w:val="0"/>
          <w:divBdr>
            <w:top w:val="none" w:sz="0" w:space="0" w:color="auto"/>
            <w:left w:val="none" w:sz="0" w:space="0" w:color="auto"/>
            <w:bottom w:val="none" w:sz="0" w:space="0" w:color="auto"/>
            <w:right w:val="none" w:sz="0" w:space="0" w:color="auto"/>
          </w:divBdr>
        </w:div>
        <w:div w:id="858471261">
          <w:marLeft w:val="2074"/>
          <w:marRight w:val="0"/>
          <w:marTop w:val="77"/>
          <w:marBottom w:val="0"/>
          <w:divBdr>
            <w:top w:val="none" w:sz="0" w:space="0" w:color="auto"/>
            <w:left w:val="none" w:sz="0" w:space="0" w:color="auto"/>
            <w:bottom w:val="none" w:sz="0" w:space="0" w:color="auto"/>
            <w:right w:val="none" w:sz="0" w:space="0" w:color="auto"/>
          </w:divBdr>
        </w:div>
        <w:div w:id="1067412729">
          <w:marLeft w:val="1627"/>
          <w:marRight w:val="0"/>
          <w:marTop w:val="86"/>
          <w:marBottom w:val="0"/>
          <w:divBdr>
            <w:top w:val="none" w:sz="0" w:space="0" w:color="auto"/>
            <w:left w:val="none" w:sz="0" w:space="0" w:color="auto"/>
            <w:bottom w:val="none" w:sz="0" w:space="0" w:color="auto"/>
            <w:right w:val="none" w:sz="0" w:space="0" w:color="auto"/>
          </w:divBdr>
        </w:div>
        <w:div w:id="1105199747">
          <w:marLeft w:val="1627"/>
          <w:marRight w:val="0"/>
          <w:marTop w:val="86"/>
          <w:marBottom w:val="0"/>
          <w:divBdr>
            <w:top w:val="none" w:sz="0" w:space="0" w:color="auto"/>
            <w:left w:val="none" w:sz="0" w:space="0" w:color="auto"/>
            <w:bottom w:val="none" w:sz="0" w:space="0" w:color="auto"/>
            <w:right w:val="none" w:sz="0" w:space="0" w:color="auto"/>
          </w:divBdr>
        </w:div>
        <w:div w:id="1185169486">
          <w:marLeft w:val="1627"/>
          <w:marRight w:val="0"/>
          <w:marTop w:val="86"/>
          <w:marBottom w:val="0"/>
          <w:divBdr>
            <w:top w:val="none" w:sz="0" w:space="0" w:color="auto"/>
            <w:left w:val="none" w:sz="0" w:space="0" w:color="auto"/>
            <w:bottom w:val="none" w:sz="0" w:space="0" w:color="auto"/>
            <w:right w:val="none" w:sz="0" w:space="0" w:color="auto"/>
          </w:divBdr>
        </w:div>
        <w:div w:id="1549412935">
          <w:marLeft w:val="1627"/>
          <w:marRight w:val="0"/>
          <w:marTop w:val="86"/>
          <w:marBottom w:val="0"/>
          <w:divBdr>
            <w:top w:val="none" w:sz="0" w:space="0" w:color="auto"/>
            <w:left w:val="none" w:sz="0" w:space="0" w:color="auto"/>
            <w:bottom w:val="none" w:sz="0" w:space="0" w:color="auto"/>
            <w:right w:val="none" w:sz="0" w:space="0" w:color="auto"/>
          </w:divBdr>
        </w:div>
        <w:div w:id="1721979944">
          <w:marLeft w:val="547"/>
          <w:marRight w:val="0"/>
          <w:marTop w:val="115"/>
          <w:marBottom w:val="0"/>
          <w:divBdr>
            <w:top w:val="none" w:sz="0" w:space="0" w:color="auto"/>
            <w:left w:val="none" w:sz="0" w:space="0" w:color="auto"/>
            <w:bottom w:val="none" w:sz="0" w:space="0" w:color="auto"/>
            <w:right w:val="none" w:sz="0" w:space="0" w:color="auto"/>
          </w:divBdr>
        </w:div>
        <w:div w:id="2032755608">
          <w:marLeft w:val="1166"/>
          <w:marRight w:val="0"/>
          <w:marTop w:val="96"/>
          <w:marBottom w:val="0"/>
          <w:divBdr>
            <w:top w:val="none" w:sz="0" w:space="0" w:color="auto"/>
            <w:left w:val="none" w:sz="0" w:space="0" w:color="auto"/>
            <w:bottom w:val="none" w:sz="0" w:space="0" w:color="auto"/>
            <w:right w:val="none" w:sz="0" w:space="0" w:color="auto"/>
          </w:divBdr>
        </w:div>
        <w:div w:id="2065250644">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025120">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141265">
      <w:bodyDiv w:val="1"/>
      <w:marLeft w:val="0"/>
      <w:marRight w:val="0"/>
      <w:marTop w:val="0"/>
      <w:marBottom w:val="0"/>
      <w:divBdr>
        <w:top w:val="none" w:sz="0" w:space="0" w:color="auto"/>
        <w:left w:val="none" w:sz="0" w:space="0" w:color="auto"/>
        <w:bottom w:val="none" w:sz="0" w:space="0" w:color="auto"/>
        <w:right w:val="none" w:sz="0" w:space="0" w:color="auto"/>
      </w:divBdr>
      <w:divsChild>
        <w:div w:id="309676008">
          <w:marLeft w:val="1627"/>
          <w:marRight w:val="0"/>
          <w:marTop w:val="86"/>
          <w:marBottom w:val="0"/>
          <w:divBdr>
            <w:top w:val="none" w:sz="0" w:space="0" w:color="auto"/>
            <w:left w:val="none" w:sz="0" w:space="0" w:color="auto"/>
            <w:bottom w:val="none" w:sz="0" w:space="0" w:color="auto"/>
            <w:right w:val="none" w:sz="0" w:space="0" w:color="auto"/>
          </w:divBdr>
        </w:div>
        <w:div w:id="595872497">
          <w:marLeft w:val="2074"/>
          <w:marRight w:val="0"/>
          <w:marTop w:val="77"/>
          <w:marBottom w:val="0"/>
          <w:divBdr>
            <w:top w:val="none" w:sz="0" w:space="0" w:color="auto"/>
            <w:left w:val="none" w:sz="0" w:space="0" w:color="auto"/>
            <w:bottom w:val="none" w:sz="0" w:space="0" w:color="auto"/>
            <w:right w:val="none" w:sz="0" w:space="0" w:color="auto"/>
          </w:divBdr>
        </w:div>
        <w:div w:id="826676089">
          <w:marLeft w:val="1166"/>
          <w:marRight w:val="0"/>
          <w:marTop w:val="96"/>
          <w:marBottom w:val="0"/>
          <w:divBdr>
            <w:top w:val="none" w:sz="0" w:space="0" w:color="auto"/>
            <w:left w:val="none" w:sz="0" w:space="0" w:color="auto"/>
            <w:bottom w:val="none" w:sz="0" w:space="0" w:color="auto"/>
            <w:right w:val="none" w:sz="0" w:space="0" w:color="auto"/>
          </w:divBdr>
        </w:div>
        <w:div w:id="1763985709">
          <w:marLeft w:val="2520"/>
          <w:marRight w:val="0"/>
          <w:marTop w:val="67"/>
          <w:marBottom w:val="0"/>
          <w:divBdr>
            <w:top w:val="none" w:sz="0" w:space="0" w:color="auto"/>
            <w:left w:val="none" w:sz="0" w:space="0" w:color="auto"/>
            <w:bottom w:val="none" w:sz="0" w:space="0" w:color="auto"/>
            <w:right w:val="none" w:sz="0" w:space="0" w:color="auto"/>
          </w:divBdr>
        </w:div>
        <w:div w:id="1777871220">
          <w:marLeft w:val="1627"/>
          <w:marRight w:val="0"/>
          <w:marTop w:val="86"/>
          <w:marBottom w:val="0"/>
          <w:divBdr>
            <w:top w:val="none" w:sz="0" w:space="0" w:color="auto"/>
            <w:left w:val="none" w:sz="0" w:space="0" w:color="auto"/>
            <w:bottom w:val="none" w:sz="0" w:space="0" w:color="auto"/>
            <w:right w:val="none" w:sz="0" w:space="0" w:color="auto"/>
          </w:divBdr>
        </w:div>
        <w:div w:id="1790663028">
          <w:marLeft w:val="1627"/>
          <w:marRight w:val="0"/>
          <w:marTop w:val="86"/>
          <w:marBottom w:val="0"/>
          <w:divBdr>
            <w:top w:val="none" w:sz="0" w:space="0" w:color="auto"/>
            <w:left w:val="none" w:sz="0" w:space="0" w:color="auto"/>
            <w:bottom w:val="none" w:sz="0" w:space="0" w:color="auto"/>
            <w:right w:val="none" w:sz="0" w:space="0" w:color="auto"/>
          </w:divBdr>
        </w:div>
        <w:div w:id="1826243472">
          <w:marLeft w:val="1627"/>
          <w:marRight w:val="0"/>
          <w:marTop w:val="86"/>
          <w:marBottom w:val="0"/>
          <w:divBdr>
            <w:top w:val="none" w:sz="0" w:space="0" w:color="auto"/>
            <w:left w:val="none" w:sz="0" w:space="0" w:color="auto"/>
            <w:bottom w:val="none" w:sz="0" w:space="0" w:color="auto"/>
            <w:right w:val="none" w:sz="0" w:space="0" w:color="auto"/>
          </w:divBdr>
        </w:div>
        <w:div w:id="1826896200">
          <w:marLeft w:val="1166"/>
          <w:marRight w:val="0"/>
          <w:marTop w:val="96"/>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336428114">
          <w:marLeft w:val="1627"/>
          <w:marRight w:val="0"/>
          <w:marTop w:val="86"/>
          <w:marBottom w:val="0"/>
          <w:divBdr>
            <w:top w:val="none" w:sz="0" w:space="0" w:color="auto"/>
            <w:left w:val="none" w:sz="0" w:space="0" w:color="auto"/>
            <w:bottom w:val="none" w:sz="0" w:space="0" w:color="auto"/>
            <w:right w:val="none" w:sz="0" w:space="0" w:color="auto"/>
          </w:divBdr>
        </w:div>
        <w:div w:id="1020231415">
          <w:marLeft w:val="547"/>
          <w:marRight w:val="0"/>
          <w:marTop w:val="115"/>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sChild>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669D35-72A1-4E24-997A-C1AF5E552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2875</Words>
  <Characters>16391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19228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Peter Gaal</cp:lastModifiedBy>
  <cp:revision>5</cp:revision>
  <cp:lastPrinted>2018-04-07T03:05:00Z</cp:lastPrinted>
  <dcterms:created xsi:type="dcterms:W3CDTF">2018-05-12T01:54:00Z</dcterms:created>
  <dcterms:modified xsi:type="dcterms:W3CDTF">2018-05-12T05:56:00Z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ies>
</file>